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4AFB01" w14:textId="77777777" w:rsidR="00BF5FDD" w:rsidRPr="0064715D" w:rsidRDefault="00000000" w:rsidP="0064715D">
      <w:pPr>
        <w:pStyle w:val="Title"/>
        <w:jc w:val="center"/>
        <w:rPr>
          <w:rFonts w:ascii="Times New Roman" w:hAnsi="Times New Roman" w:cs="Times New Roman"/>
          <w:color w:val="000000" w:themeColor="text1"/>
          <w:sz w:val="24"/>
          <w:szCs w:val="24"/>
        </w:rPr>
      </w:pPr>
      <w:r w:rsidRPr="0064715D">
        <w:rPr>
          <w:rFonts w:ascii="Times New Roman" w:hAnsi="Times New Roman" w:cs="Times New Roman"/>
          <w:color w:val="000000" w:themeColor="text1"/>
          <w:sz w:val="24"/>
          <w:szCs w:val="24"/>
        </w:rPr>
        <w:t>Estimating Shell and Tube Heat Exchanger Purchase Cost with MATLAB</w:t>
      </w:r>
    </w:p>
    <w:p w14:paraId="268C2517" w14:textId="6DFBFC37" w:rsidR="00BF5FDD" w:rsidRPr="0064715D" w:rsidRDefault="00000000" w:rsidP="0064715D">
      <w:pPr>
        <w:spacing w:after="220"/>
        <w:jc w:val="center"/>
        <w:rPr>
          <w:rFonts w:ascii="Times New Roman" w:hAnsi="Times New Roman" w:cs="Times New Roman"/>
          <w:color w:val="000000" w:themeColor="text1"/>
          <w:sz w:val="24"/>
          <w:szCs w:val="24"/>
        </w:rPr>
      </w:pPr>
      <w:r w:rsidRPr="0064715D">
        <w:rPr>
          <w:rFonts w:ascii="Times New Roman" w:hAnsi="Times New Roman" w:cs="Times New Roman"/>
          <w:color w:val="000000" w:themeColor="text1"/>
          <w:sz w:val="24"/>
          <w:szCs w:val="24"/>
        </w:rPr>
        <w:t>Process Design I</w:t>
      </w:r>
    </w:p>
    <w:p w14:paraId="6977A105" w14:textId="77777777" w:rsidR="00BF5FDD" w:rsidRPr="0064715D" w:rsidRDefault="00000000">
      <w:pPr>
        <w:rPr>
          <w:rFonts w:ascii="Times New Roman" w:hAnsi="Times New Roman" w:cs="Times New Roman"/>
          <w:sz w:val="24"/>
          <w:szCs w:val="24"/>
        </w:rPr>
      </w:pPr>
      <w:r w:rsidRPr="0064715D">
        <w:rPr>
          <w:rFonts w:ascii="Times New Roman" w:hAnsi="Times New Roman" w:cs="Times New Roman"/>
          <w:sz w:val="24"/>
          <w:szCs w:val="24"/>
        </w:rPr>
        <w:t>A preliminary exchanger estimate begins with the heat duty and the temperature driving force. In this activity, you will read a flow-arrangement correction factor, calculate the area of a shell-and-tube exchanger, and use MATLAB to estimate its equipment purchase cost. Your recommendation must explain how the correction changes the estimate and what the cost model leaves unresolved.</w:t>
      </w:r>
    </w:p>
    <w:p w14:paraId="2D692977" w14:textId="6E3153A7" w:rsidR="00BF5FDD" w:rsidRPr="0064715D" w:rsidRDefault="00000000">
      <w:pPr>
        <w:pStyle w:val="Heading1"/>
        <w:rPr>
          <w:rFonts w:ascii="Times New Roman" w:hAnsi="Times New Roman" w:cs="Times New Roman"/>
          <w:szCs w:val="24"/>
        </w:rPr>
      </w:pPr>
      <w:r w:rsidRPr="0064715D">
        <w:rPr>
          <w:rFonts w:ascii="Times New Roman" w:hAnsi="Times New Roman" w:cs="Times New Roman"/>
          <w:szCs w:val="24"/>
        </w:rPr>
        <w:t>Engineering context</w:t>
      </w:r>
    </w:p>
    <w:p w14:paraId="36687C3E" w14:textId="45B9D682" w:rsidR="00BF5FDD" w:rsidRPr="0064715D" w:rsidRDefault="00000000">
      <w:pPr>
        <w:rPr>
          <w:rFonts w:ascii="Times New Roman" w:hAnsi="Times New Roman" w:cs="Times New Roman"/>
          <w:sz w:val="24"/>
          <w:szCs w:val="24"/>
        </w:rPr>
      </w:pPr>
      <w:r w:rsidRPr="0064715D">
        <w:rPr>
          <w:rFonts w:ascii="Times New Roman" w:hAnsi="Times New Roman" w:cs="Times New Roman"/>
          <w:sz w:val="24"/>
          <w:szCs w:val="24"/>
        </w:rPr>
        <w:t xml:space="preserve">For two streams in ideal countercurrent flow, the log-mean temperature difference (LMTD) summarizes the driving force when heat capacities and the overall coefficient are approximately constant. A shell-and-tube exchanger with more than one tube pass does not maintain ideal countercurrent contact everywhere. </w:t>
      </w:r>
      <w:r w:rsidR="0064715D">
        <w:rPr>
          <w:rFonts w:ascii="Times New Roman" w:hAnsi="Times New Roman" w:cs="Times New Roman"/>
          <w:sz w:val="24"/>
          <w:szCs w:val="24"/>
        </w:rPr>
        <w:t xml:space="preserve">You </w:t>
      </w:r>
      <w:proofErr w:type="gramStart"/>
      <w:r w:rsidR="0064715D">
        <w:rPr>
          <w:rFonts w:ascii="Times New Roman" w:hAnsi="Times New Roman" w:cs="Times New Roman"/>
          <w:sz w:val="24"/>
          <w:szCs w:val="24"/>
        </w:rPr>
        <w:t>have to</w:t>
      </w:r>
      <w:proofErr w:type="gramEnd"/>
      <w:r w:rsidRPr="0064715D">
        <w:rPr>
          <w:rFonts w:ascii="Times New Roman" w:hAnsi="Times New Roman" w:cs="Times New Roman"/>
          <w:sz w:val="24"/>
          <w:szCs w:val="24"/>
        </w:rPr>
        <w:t xml:space="preserve"> multipl</w:t>
      </w:r>
      <w:r w:rsidR="0064715D">
        <w:rPr>
          <w:rFonts w:ascii="Times New Roman" w:hAnsi="Times New Roman" w:cs="Times New Roman"/>
          <w:sz w:val="24"/>
          <w:szCs w:val="24"/>
        </w:rPr>
        <w:t>y</w:t>
      </w:r>
      <w:r w:rsidRPr="0064715D">
        <w:rPr>
          <w:rFonts w:ascii="Times New Roman" w:hAnsi="Times New Roman" w:cs="Times New Roman"/>
          <w:sz w:val="24"/>
          <w:szCs w:val="24"/>
        </w:rPr>
        <w:t xml:space="preserve"> the countercurrent LMTD by a correction factor Fₜ. The factor depends on the inlet and outlet temperatures through the ratios R and S and on the pass arrangement (Section 12.2</w:t>
      </w:r>
      <w:r w:rsidR="0064715D">
        <w:rPr>
          <w:rFonts w:ascii="Times New Roman" w:hAnsi="Times New Roman" w:cs="Times New Roman"/>
          <w:sz w:val="24"/>
          <w:szCs w:val="24"/>
        </w:rPr>
        <w:t xml:space="preserve"> of the textbook</w:t>
      </w:r>
      <w:r w:rsidRPr="0064715D">
        <w:rPr>
          <w:rFonts w:ascii="Times New Roman" w:hAnsi="Times New Roman" w:cs="Times New Roman"/>
          <w:sz w:val="24"/>
          <w:szCs w:val="24"/>
        </w:rPr>
        <w:t>).</w:t>
      </w:r>
    </w:p>
    <w:p w14:paraId="61733156" w14:textId="0A9CD28D" w:rsidR="00BF5FDD" w:rsidRPr="0064715D" w:rsidRDefault="00000000">
      <w:pPr>
        <w:rPr>
          <w:rFonts w:ascii="Times New Roman" w:hAnsi="Times New Roman" w:cs="Times New Roman"/>
          <w:sz w:val="24"/>
          <w:szCs w:val="24"/>
        </w:rPr>
      </w:pPr>
      <w:r w:rsidRPr="0064715D">
        <w:rPr>
          <w:rFonts w:ascii="Times New Roman" w:hAnsi="Times New Roman" w:cs="Times New Roman"/>
          <w:sz w:val="24"/>
          <w:szCs w:val="24"/>
        </w:rPr>
        <w:t xml:space="preserve">In Section 16.5, </w:t>
      </w:r>
      <w:r w:rsidR="0064715D">
        <w:rPr>
          <w:rFonts w:ascii="Times New Roman" w:hAnsi="Times New Roman" w:cs="Times New Roman"/>
          <w:sz w:val="24"/>
          <w:szCs w:val="24"/>
        </w:rPr>
        <w:t>you learn to</w:t>
      </w:r>
      <w:r w:rsidRPr="0064715D">
        <w:rPr>
          <w:rFonts w:ascii="Times New Roman" w:hAnsi="Times New Roman" w:cs="Times New Roman"/>
          <w:sz w:val="24"/>
          <w:szCs w:val="24"/>
        </w:rPr>
        <w:t xml:space="preserve"> estimate the f.o.b. purchase cost from a base cost correlated with heat-transfer area. Material, pressure, and tube-length factors adjust that base cost; a cost-index ratio adjusts its reference-year basis. This purchase cost does not include the full cost to install the exchanger or build a plant. The shell-and-tube correlations used here are valid for areas from 150 to 12,000 ft².</w:t>
      </w:r>
    </w:p>
    <w:p w14:paraId="1B388FC7" w14:textId="77777777" w:rsidR="00BF5FDD" w:rsidRPr="0064715D" w:rsidRDefault="00000000">
      <w:pPr>
        <w:pStyle w:val="Heading1"/>
        <w:rPr>
          <w:rFonts w:ascii="Times New Roman" w:hAnsi="Times New Roman" w:cs="Times New Roman"/>
          <w:szCs w:val="24"/>
        </w:rPr>
      </w:pPr>
      <w:r w:rsidRPr="0064715D">
        <w:rPr>
          <w:rFonts w:ascii="Times New Roman" w:hAnsi="Times New Roman" w:cs="Times New Roman"/>
          <w:szCs w:val="24"/>
        </w:rPr>
        <w:t>Design data</w:t>
      </w:r>
    </w:p>
    <w:tbl>
      <w:tblPr>
        <w:tblStyle w:val="TableGrid"/>
        <w:tblW w:w="0" w:type="auto"/>
        <w:tblLayout w:type="fixed"/>
        <w:tblLook w:val="04A0" w:firstRow="1" w:lastRow="0" w:firstColumn="1" w:lastColumn="0" w:noHBand="0" w:noVBand="1"/>
      </w:tblPr>
      <w:tblGrid>
        <w:gridCol w:w="4968"/>
        <w:gridCol w:w="4752"/>
      </w:tblGrid>
      <w:tr w:rsidR="00BF5FDD" w:rsidRPr="0064715D" w14:paraId="501F256B" w14:textId="77777777" w:rsidTr="0064715D">
        <w:tc>
          <w:tcPr>
            <w:tcW w:w="4968" w:type="dxa"/>
          </w:tcPr>
          <w:p w14:paraId="63F08F78" w14:textId="77777777" w:rsidR="00BF5FDD" w:rsidRPr="0064715D" w:rsidRDefault="00000000">
            <w:pPr>
              <w:rPr>
                <w:rFonts w:ascii="Times New Roman" w:hAnsi="Times New Roman" w:cs="Times New Roman"/>
                <w:sz w:val="24"/>
                <w:szCs w:val="24"/>
              </w:rPr>
            </w:pPr>
            <w:r w:rsidRPr="0064715D">
              <w:rPr>
                <w:rFonts w:ascii="Times New Roman" w:hAnsi="Times New Roman" w:cs="Times New Roman"/>
                <w:b/>
                <w:sz w:val="24"/>
                <w:szCs w:val="24"/>
              </w:rPr>
              <w:t>Given quantity</w:t>
            </w:r>
          </w:p>
        </w:tc>
        <w:tc>
          <w:tcPr>
            <w:tcW w:w="4752" w:type="dxa"/>
          </w:tcPr>
          <w:p w14:paraId="1EBCE80E" w14:textId="77777777" w:rsidR="00BF5FDD" w:rsidRPr="0064715D" w:rsidRDefault="00000000">
            <w:pPr>
              <w:rPr>
                <w:rFonts w:ascii="Times New Roman" w:hAnsi="Times New Roman" w:cs="Times New Roman"/>
                <w:sz w:val="24"/>
                <w:szCs w:val="24"/>
              </w:rPr>
            </w:pPr>
            <w:r w:rsidRPr="0064715D">
              <w:rPr>
                <w:rFonts w:ascii="Times New Roman" w:hAnsi="Times New Roman" w:cs="Times New Roman"/>
                <w:b/>
                <w:sz w:val="24"/>
                <w:szCs w:val="24"/>
              </w:rPr>
              <w:t>Value</w:t>
            </w:r>
          </w:p>
        </w:tc>
      </w:tr>
      <w:tr w:rsidR="00BF5FDD" w:rsidRPr="0064715D" w14:paraId="479BA009" w14:textId="77777777" w:rsidTr="0064715D">
        <w:tc>
          <w:tcPr>
            <w:tcW w:w="4968" w:type="dxa"/>
          </w:tcPr>
          <w:p w14:paraId="55EB6CE3" w14:textId="77777777" w:rsidR="00BF5FDD" w:rsidRPr="0064715D" w:rsidRDefault="00000000">
            <w:pPr>
              <w:spacing w:after="0"/>
              <w:rPr>
                <w:rFonts w:ascii="Times New Roman" w:hAnsi="Times New Roman" w:cs="Times New Roman"/>
                <w:sz w:val="24"/>
                <w:szCs w:val="24"/>
              </w:rPr>
            </w:pPr>
            <w:r w:rsidRPr="0064715D">
              <w:rPr>
                <w:rFonts w:ascii="Times New Roman" w:hAnsi="Times New Roman" w:cs="Times New Roman"/>
                <w:sz w:val="24"/>
                <w:szCs w:val="24"/>
              </w:rPr>
              <w:t>Hot stream inlet and outlet</w:t>
            </w:r>
          </w:p>
        </w:tc>
        <w:tc>
          <w:tcPr>
            <w:tcW w:w="4752" w:type="dxa"/>
          </w:tcPr>
          <w:p w14:paraId="43BD1356" w14:textId="77777777" w:rsidR="00BF5FDD" w:rsidRPr="0064715D" w:rsidRDefault="00000000">
            <w:pPr>
              <w:spacing w:after="0"/>
              <w:jc w:val="right"/>
              <w:rPr>
                <w:rFonts w:ascii="Times New Roman" w:hAnsi="Times New Roman" w:cs="Times New Roman"/>
                <w:sz w:val="24"/>
                <w:szCs w:val="24"/>
              </w:rPr>
            </w:pPr>
            <w:r w:rsidRPr="0064715D">
              <w:rPr>
                <w:rFonts w:ascii="Times New Roman" w:hAnsi="Times New Roman" w:cs="Times New Roman"/>
                <w:sz w:val="24"/>
                <w:szCs w:val="24"/>
              </w:rPr>
              <w:t>200 °F and 140 °F</w:t>
            </w:r>
          </w:p>
        </w:tc>
      </w:tr>
      <w:tr w:rsidR="00BF5FDD" w:rsidRPr="0064715D" w14:paraId="5B9DED0F" w14:textId="77777777" w:rsidTr="0064715D">
        <w:tc>
          <w:tcPr>
            <w:tcW w:w="4968" w:type="dxa"/>
          </w:tcPr>
          <w:p w14:paraId="38575249" w14:textId="77777777" w:rsidR="00BF5FDD" w:rsidRPr="0064715D" w:rsidRDefault="00000000">
            <w:pPr>
              <w:spacing w:after="0"/>
              <w:rPr>
                <w:rFonts w:ascii="Times New Roman" w:hAnsi="Times New Roman" w:cs="Times New Roman"/>
                <w:sz w:val="24"/>
                <w:szCs w:val="24"/>
              </w:rPr>
            </w:pPr>
            <w:r w:rsidRPr="0064715D">
              <w:rPr>
                <w:rFonts w:ascii="Times New Roman" w:hAnsi="Times New Roman" w:cs="Times New Roman"/>
                <w:sz w:val="24"/>
                <w:szCs w:val="24"/>
              </w:rPr>
              <w:t>Cold stream inlet and outlet</w:t>
            </w:r>
          </w:p>
        </w:tc>
        <w:tc>
          <w:tcPr>
            <w:tcW w:w="4752" w:type="dxa"/>
          </w:tcPr>
          <w:p w14:paraId="08FC8C45" w14:textId="77777777" w:rsidR="00BF5FDD" w:rsidRPr="0064715D" w:rsidRDefault="00000000">
            <w:pPr>
              <w:spacing w:after="0"/>
              <w:jc w:val="right"/>
              <w:rPr>
                <w:rFonts w:ascii="Times New Roman" w:hAnsi="Times New Roman" w:cs="Times New Roman"/>
                <w:sz w:val="24"/>
                <w:szCs w:val="24"/>
              </w:rPr>
            </w:pPr>
            <w:r w:rsidRPr="0064715D">
              <w:rPr>
                <w:rFonts w:ascii="Times New Roman" w:hAnsi="Times New Roman" w:cs="Times New Roman"/>
                <w:sz w:val="24"/>
                <w:szCs w:val="24"/>
              </w:rPr>
              <w:t>100 °F and 134 °F</w:t>
            </w:r>
          </w:p>
        </w:tc>
      </w:tr>
      <w:tr w:rsidR="00BF5FDD" w:rsidRPr="0064715D" w14:paraId="23DF95F5" w14:textId="77777777" w:rsidTr="0064715D">
        <w:tc>
          <w:tcPr>
            <w:tcW w:w="4968" w:type="dxa"/>
          </w:tcPr>
          <w:p w14:paraId="549C48EA" w14:textId="77777777" w:rsidR="00BF5FDD" w:rsidRPr="0064715D" w:rsidRDefault="00000000">
            <w:pPr>
              <w:spacing w:after="0"/>
              <w:rPr>
                <w:rFonts w:ascii="Times New Roman" w:hAnsi="Times New Roman" w:cs="Times New Roman"/>
                <w:sz w:val="24"/>
                <w:szCs w:val="24"/>
              </w:rPr>
            </w:pPr>
            <w:r w:rsidRPr="0064715D">
              <w:rPr>
                <w:rFonts w:ascii="Times New Roman" w:hAnsi="Times New Roman" w:cs="Times New Roman"/>
                <w:sz w:val="24"/>
                <w:szCs w:val="24"/>
              </w:rPr>
              <w:t>Heat duty Q</w:t>
            </w:r>
          </w:p>
        </w:tc>
        <w:tc>
          <w:tcPr>
            <w:tcW w:w="4752" w:type="dxa"/>
          </w:tcPr>
          <w:p w14:paraId="0AA62B80" w14:textId="77777777" w:rsidR="00BF5FDD" w:rsidRPr="0064715D" w:rsidRDefault="00000000">
            <w:pPr>
              <w:spacing w:after="0"/>
              <w:jc w:val="right"/>
              <w:rPr>
                <w:rFonts w:ascii="Times New Roman" w:hAnsi="Times New Roman" w:cs="Times New Roman"/>
                <w:sz w:val="24"/>
                <w:szCs w:val="24"/>
              </w:rPr>
            </w:pPr>
            <w:r w:rsidRPr="0064715D">
              <w:rPr>
                <w:rFonts w:ascii="Times New Roman" w:hAnsi="Times New Roman" w:cs="Times New Roman"/>
                <w:sz w:val="24"/>
                <w:szCs w:val="24"/>
              </w:rPr>
              <w:t>15,000,000 Btu/h</w:t>
            </w:r>
          </w:p>
        </w:tc>
      </w:tr>
      <w:tr w:rsidR="00BF5FDD" w:rsidRPr="0064715D" w14:paraId="47D3C942" w14:textId="77777777" w:rsidTr="0064715D">
        <w:tc>
          <w:tcPr>
            <w:tcW w:w="4968" w:type="dxa"/>
          </w:tcPr>
          <w:p w14:paraId="5388A448" w14:textId="77777777" w:rsidR="00BF5FDD" w:rsidRPr="0064715D" w:rsidRDefault="00000000">
            <w:pPr>
              <w:spacing w:after="0"/>
              <w:rPr>
                <w:rFonts w:ascii="Times New Roman" w:hAnsi="Times New Roman" w:cs="Times New Roman"/>
                <w:sz w:val="24"/>
                <w:szCs w:val="24"/>
              </w:rPr>
            </w:pPr>
            <w:r w:rsidRPr="0064715D">
              <w:rPr>
                <w:rFonts w:ascii="Times New Roman" w:hAnsi="Times New Roman" w:cs="Times New Roman"/>
                <w:sz w:val="24"/>
                <w:szCs w:val="24"/>
              </w:rPr>
              <w:t>Estimated overall coefficient U</w:t>
            </w:r>
          </w:p>
        </w:tc>
        <w:tc>
          <w:tcPr>
            <w:tcW w:w="4752" w:type="dxa"/>
          </w:tcPr>
          <w:p w14:paraId="3C13348D" w14:textId="77777777" w:rsidR="00BF5FDD" w:rsidRPr="0064715D" w:rsidRDefault="00000000">
            <w:pPr>
              <w:spacing w:after="0"/>
              <w:jc w:val="right"/>
              <w:rPr>
                <w:rFonts w:ascii="Times New Roman" w:hAnsi="Times New Roman" w:cs="Times New Roman"/>
                <w:sz w:val="24"/>
                <w:szCs w:val="24"/>
              </w:rPr>
            </w:pPr>
            <w:r w:rsidRPr="0064715D">
              <w:rPr>
                <w:rFonts w:ascii="Times New Roman" w:hAnsi="Times New Roman" w:cs="Times New Roman"/>
                <w:sz w:val="24"/>
                <w:szCs w:val="24"/>
              </w:rPr>
              <w:t>150 Btu/(h·ft²·°F)</w:t>
            </w:r>
          </w:p>
        </w:tc>
      </w:tr>
      <w:tr w:rsidR="00BF5FDD" w:rsidRPr="0064715D" w14:paraId="1E05EBE9" w14:textId="77777777" w:rsidTr="0064715D">
        <w:tc>
          <w:tcPr>
            <w:tcW w:w="4968" w:type="dxa"/>
          </w:tcPr>
          <w:p w14:paraId="22DCC01F" w14:textId="77777777" w:rsidR="00BF5FDD" w:rsidRPr="0064715D" w:rsidRDefault="00000000">
            <w:pPr>
              <w:spacing w:after="0"/>
              <w:rPr>
                <w:rFonts w:ascii="Times New Roman" w:hAnsi="Times New Roman" w:cs="Times New Roman"/>
                <w:sz w:val="24"/>
                <w:szCs w:val="24"/>
              </w:rPr>
            </w:pPr>
            <w:r w:rsidRPr="0064715D">
              <w:rPr>
                <w:rFonts w:ascii="Times New Roman" w:hAnsi="Times New Roman" w:cs="Times New Roman"/>
                <w:sz w:val="24"/>
                <w:szCs w:val="24"/>
              </w:rPr>
              <w:t>Configuration</w:t>
            </w:r>
          </w:p>
        </w:tc>
        <w:tc>
          <w:tcPr>
            <w:tcW w:w="4752" w:type="dxa"/>
          </w:tcPr>
          <w:p w14:paraId="09C32242" w14:textId="77777777" w:rsidR="00BF5FDD" w:rsidRPr="0064715D" w:rsidRDefault="00000000">
            <w:pPr>
              <w:spacing w:after="0"/>
              <w:jc w:val="right"/>
              <w:rPr>
                <w:rFonts w:ascii="Times New Roman" w:hAnsi="Times New Roman" w:cs="Times New Roman"/>
                <w:sz w:val="24"/>
                <w:szCs w:val="24"/>
              </w:rPr>
            </w:pPr>
            <w:r w:rsidRPr="0064715D">
              <w:rPr>
                <w:rFonts w:ascii="Times New Roman" w:hAnsi="Times New Roman" w:cs="Times New Roman"/>
                <w:sz w:val="24"/>
                <w:szCs w:val="24"/>
              </w:rPr>
              <w:t>One shell pass, two tube passes</w:t>
            </w:r>
          </w:p>
        </w:tc>
      </w:tr>
      <w:tr w:rsidR="00BF5FDD" w:rsidRPr="0064715D" w14:paraId="0F7A63DD" w14:textId="77777777" w:rsidTr="0064715D">
        <w:tc>
          <w:tcPr>
            <w:tcW w:w="4968" w:type="dxa"/>
          </w:tcPr>
          <w:p w14:paraId="64380A61" w14:textId="77777777" w:rsidR="00BF5FDD" w:rsidRPr="0064715D" w:rsidRDefault="00000000">
            <w:pPr>
              <w:spacing w:after="0"/>
              <w:rPr>
                <w:rFonts w:ascii="Times New Roman" w:hAnsi="Times New Roman" w:cs="Times New Roman"/>
                <w:sz w:val="24"/>
                <w:szCs w:val="24"/>
              </w:rPr>
            </w:pPr>
            <w:r w:rsidRPr="0064715D">
              <w:rPr>
                <w:rFonts w:ascii="Times New Roman" w:hAnsi="Times New Roman" w:cs="Times New Roman"/>
                <w:sz w:val="24"/>
                <w:szCs w:val="24"/>
              </w:rPr>
              <w:t>Construction and design pressure</w:t>
            </w:r>
          </w:p>
        </w:tc>
        <w:tc>
          <w:tcPr>
            <w:tcW w:w="4752" w:type="dxa"/>
          </w:tcPr>
          <w:p w14:paraId="54F3290B" w14:textId="77777777" w:rsidR="00BF5FDD" w:rsidRPr="0064715D" w:rsidRDefault="00000000">
            <w:pPr>
              <w:spacing w:after="0"/>
              <w:jc w:val="right"/>
              <w:rPr>
                <w:rFonts w:ascii="Times New Roman" w:hAnsi="Times New Roman" w:cs="Times New Roman"/>
                <w:sz w:val="24"/>
                <w:szCs w:val="24"/>
              </w:rPr>
            </w:pPr>
            <w:r w:rsidRPr="0064715D">
              <w:rPr>
                <w:rFonts w:ascii="Times New Roman" w:hAnsi="Times New Roman" w:cs="Times New Roman"/>
                <w:sz w:val="24"/>
                <w:szCs w:val="24"/>
              </w:rPr>
              <w:t>Carbon steel; shell pressure ≤100 psig</w:t>
            </w:r>
          </w:p>
        </w:tc>
      </w:tr>
      <w:tr w:rsidR="00BF5FDD" w:rsidRPr="0064715D" w14:paraId="3BDA5125" w14:textId="77777777" w:rsidTr="0064715D">
        <w:tc>
          <w:tcPr>
            <w:tcW w:w="4968" w:type="dxa"/>
          </w:tcPr>
          <w:p w14:paraId="6555D918" w14:textId="77777777" w:rsidR="00BF5FDD" w:rsidRPr="0064715D" w:rsidRDefault="00000000">
            <w:pPr>
              <w:spacing w:after="0"/>
              <w:rPr>
                <w:rFonts w:ascii="Times New Roman" w:hAnsi="Times New Roman" w:cs="Times New Roman"/>
                <w:sz w:val="24"/>
                <w:szCs w:val="24"/>
              </w:rPr>
            </w:pPr>
            <w:r w:rsidRPr="0064715D">
              <w:rPr>
                <w:rFonts w:ascii="Times New Roman" w:hAnsi="Times New Roman" w:cs="Times New Roman"/>
                <w:sz w:val="24"/>
                <w:szCs w:val="24"/>
              </w:rPr>
              <w:t>Tube length and cost basis</w:t>
            </w:r>
          </w:p>
        </w:tc>
        <w:tc>
          <w:tcPr>
            <w:tcW w:w="4752" w:type="dxa"/>
          </w:tcPr>
          <w:p w14:paraId="29765652" w14:textId="77777777" w:rsidR="00BF5FDD" w:rsidRPr="0064715D" w:rsidRDefault="00000000">
            <w:pPr>
              <w:spacing w:after="0"/>
              <w:jc w:val="right"/>
              <w:rPr>
                <w:rFonts w:ascii="Times New Roman" w:hAnsi="Times New Roman" w:cs="Times New Roman"/>
                <w:sz w:val="24"/>
                <w:szCs w:val="24"/>
              </w:rPr>
            </w:pPr>
            <w:r w:rsidRPr="0064715D">
              <w:rPr>
                <w:rFonts w:ascii="Times New Roman" w:hAnsi="Times New Roman" w:cs="Times New Roman"/>
                <w:sz w:val="24"/>
                <w:szCs w:val="24"/>
              </w:rPr>
              <w:t>20 ft; CE Plant Cost Index = 567</w:t>
            </w:r>
          </w:p>
        </w:tc>
      </w:tr>
    </w:tbl>
    <w:p w14:paraId="4167CB9D" w14:textId="77777777" w:rsidR="00BF5FDD" w:rsidRPr="0064715D" w:rsidRDefault="00BF5FDD">
      <w:pPr>
        <w:spacing w:after="0"/>
        <w:rPr>
          <w:rFonts w:ascii="Times New Roman" w:hAnsi="Times New Roman" w:cs="Times New Roman"/>
          <w:sz w:val="24"/>
          <w:szCs w:val="24"/>
        </w:rPr>
      </w:pPr>
    </w:p>
    <w:p w14:paraId="45FB1157" w14:textId="77777777" w:rsidR="00BF5FDD" w:rsidRPr="0064715D" w:rsidRDefault="00000000">
      <w:pPr>
        <w:rPr>
          <w:rFonts w:ascii="Times New Roman" w:hAnsi="Times New Roman" w:cs="Times New Roman"/>
          <w:sz w:val="24"/>
          <w:szCs w:val="24"/>
        </w:rPr>
      </w:pPr>
      <w:r w:rsidRPr="0064715D">
        <w:rPr>
          <w:rFonts w:ascii="Times New Roman" w:hAnsi="Times New Roman" w:cs="Times New Roman"/>
          <w:sz w:val="24"/>
          <w:szCs w:val="24"/>
        </w:rPr>
        <w:t>Assume steady operation, negligible heat loss, sensible heating and cooling, constant heat capacities, and a constant U. Use the same estimated U when comparing mechanical exchanger types. Assume the stream flow rates are chosen so that the stated duty and terminal temperatures satisfy the energy balances.</w:t>
      </w:r>
    </w:p>
    <w:p w14:paraId="454CB4F6" w14:textId="3B9C4659" w:rsidR="00BF5FDD" w:rsidRPr="0064715D" w:rsidRDefault="00000000" w:rsidP="0064715D">
      <w:pPr>
        <w:rPr>
          <w:rFonts w:ascii="Times New Roman" w:hAnsi="Times New Roman" w:cs="Times New Roman"/>
          <w:b/>
          <w:bCs/>
          <w:sz w:val="24"/>
          <w:szCs w:val="24"/>
        </w:rPr>
      </w:pPr>
      <w:r w:rsidRPr="0064715D">
        <w:rPr>
          <w:rFonts w:ascii="Times New Roman" w:hAnsi="Times New Roman" w:cs="Times New Roman"/>
          <w:b/>
          <w:bCs/>
          <w:sz w:val="24"/>
          <w:szCs w:val="24"/>
        </w:rPr>
        <w:t>Calculation method</w:t>
      </w:r>
    </w:p>
    <w:p w14:paraId="2AC713A4" w14:textId="75438F08" w:rsidR="00BF5FDD" w:rsidRPr="0064715D" w:rsidRDefault="00000000">
      <w:pPr>
        <w:rPr>
          <w:rFonts w:ascii="Times New Roman" w:hAnsi="Times New Roman" w:cs="Times New Roman"/>
          <w:sz w:val="24"/>
          <w:szCs w:val="24"/>
        </w:rPr>
      </w:pPr>
      <w:r w:rsidRPr="0064715D">
        <w:rPr>
          <w:rFonts w:ascii="Times New Roman" w:hAnsi="Times New Roman" w:cs="Times New Roman"/>
          <w:sz w:val="24"/>
          <w:szCs w:val="24"/>
        </w:rPr>
        <w:t xml:space="preserve">Label the hot and cold stream temperatures before using the equations. All temperature differences may be expressed in °F; area must be in ft² for the purchase-cost correlation. </w:t>
      </w:r>
    </w:p>
    <w:p w14:paraId="32493EFD" w14:textId="77777777" w:rsidR="00BF5FDD" w:rsidRPr="0064715D" w:rsidRDefault="00000000">
      <w:pPr>
        <w:pStyle w:val="EquationDisplay"/>
        <w:jc w:val="center"/>
        <w:rPr>
          <w:rFonts w:ascii="Times New Roman" w:hAnsi="Times New Roman" w:cs="Times New Roman"/>
          <w:sz w:val="24"/>
          <w:szCs w:val="24"/>
        </w:rPr>
      </w:pPr>
      <w:r w:rsidRPr="0064715D">
        <w:rPr>
          <w:rFonts w:ascii="Times New Roman" w:hAnsi="Times New Roman" w:cs="Times New Roman"/>
          <w:noProof/>
          <w:sz w:val="24"/>
          <w:szCs w:val="24"/>
        </w:rPr>
        <w:drawing>
          <wp:inline distT="0" distB="0" distL="0" distR="0" wp14:anchorId="5F80E953" wp14:editId="6F840385">
            <wp:extent cx="5074920" cy="3835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mtd.png"/>
                    <pic:cNvPicPr/>
                  </pic:nvPicPr>
                  <pic:blipFill>
                    <a:blip r:embed="rId6"/>
                    <a:stretch>
                      <a:fillRect/>
                    </a:stretch>
                  </pic:blipFill>
                  <pic:spPr>
                    <a:xfrm>
                      <a:off x="0" y="0"/>
                      <a:ext cx="5074920" cy="383517"/>
                    </a:xfrm>
                    <a:prstGeom prst="rect">
                      <a:avLst/>
                    </a:prstGeom>
                  </pic:spPr>
                </pic:pic>
              </a:graphicData>
            </a:graphic>
          </wp:inline>
        </w:drawing>
      </w:r>
    </w:p>
    <w:p w14:paraId="3F024388" w14:textId="77777777" w:rsidR="00BF5FDD" w:rsidRPr="0064715D" w:rsidRDefault="00000000">
      <w:pPr>
        <w:spacing w:after="120"/>
        <w:rPr>
          <w:rFonts w:ascii="Times New Roman" w:hAnsi="Times New Roman" w:cs="Times New Roman"/>
          <w:sz w:val="24"/>
          <w:szCs w:val="24"/>
        </w:rPr>
      </w:pPr>
      <w:r w:rsidRPr="0064715D">
        <w:rPr>
          <w:rFonts w:ascii="Times New Roman" w:hAnsi="Times New Roman" w:cs="Times New Roman"/>
          <w:sz w:val="24"/>
          <w:szCs w:val="24"/>
        </w:rPr>
        <w:t>Countercurrent reference from Seider Eq. (12.3). If the two terminal differences are equal, use their common value as the LMTD.</w:t>
      </w:r>
    </w:p>
    <w:p w14:paraId="54E58728" w14:textId="77777777" w:rsidR="00BF5FDD" w:rsidRPr="0064715D" w:rsidRDefault="00000000">
      <w:pPr>
        <w:pStyle w:val="EquationDisplay"/>
        <w:jc w:val="center"/>
        <w:rPr>
          <w:rFonts w:ascii="Times New Roman" w:hAnsi="Times New Roman" w:cs="Times New Roman"/>
          <w:sz w:val="24"/>
          <w:szCs w:val="24"/>
        </w:rPr>
      </w:pPr>
      <w:r w:rsidRPr="0064715D">
        <w:rPr>
          <w:rFonts w:ascii="Times New Roman" w:hAnsi="Times New Roman" w:cs="Times New Roman"/>
          <w:noProof/>
          <w:sz w:val="24"/>
          <w:szCs w:val="24"/>
        </w:rPr>
        <w:lastRenderedPageBreak/>
        <w:drawing>
          <wp:inline distT="0" distB="0" distL="0" distR="0" wp14:anchorId="3687F483" wp14:editId="57656346">
            <wp:extent cx="2670532" cy="41659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tios.png"/>
                    <pic:cNvPicPr/>
                  </pic:nvPicPr>
                  <pic:blipFill>
                    <a:blip r:embed="rId7"/>
                    <a:stretch>
                      <a:fillRect/>
                    </a:stretch>
                  </pic:blipFill>
                  <pic:spPr>
                    <a:xfrm>
                      <a:off x="0" y="0"/>
                      <a:ext cx="2911681" cy="454208"/>
                    </a:xfrm>
                    <a:prstGeom prst="rect">
                      <a:avLst/>
                    </a:prstGeom>
                  </pic:spPr>
                </pic:pic>
              </a:graphicData>
            </a:graphic>
          </wp:inline>
        </w:drawing>
      </w:r>
    </w:p>
    <w:p w14:paraId="047EDFB4" w14:textId="77777777" w:rsidR="00BF5FDD" w:rsidRPr="0064715D" w:rsidRDefault="00000000">
      <w:pPr>
        <w:spacing w:after="120"/>
        <w:rPr>
          <w:rFonts w:ascii="Times New Roman" w:hAnsi="Times New Roman" w:cs="Times New Roman"/>
          <w:sz w:val="24"/>
          <w:szCs w:val="24"/>
        </w:rPr>
      </w:pPr>
      <w:r w:rsidRPr="0064715D">
        <w:rPr>
          <w:rFonts w:ascii="Times New Roman" w:hAnsi="Times New Roman" w:cs="Times New Roman"/>
          <w:sz w:val="24"/>
          <w:szCs w:val="24"/>
        </w:rPr>
        <w:t>Chart coordinates from Seider Eqs. (12.5) and (12.6). Read Fₜ for a one-shell-pass, two-tube-pass exchanger from Fig. 12.15 or the calculated chart below.</w:t>
      </w:r>
    </w:p>
    <w:p w14:paraId="1258AB86" w14:textId="77777777" w:rsidR="00BF5FDD" w:rsidRPr="0064715D" w:rsidRDefault="00000000">
      <w:pPr>
        <w:pStyle w:val="EquationDisplay"/>
        <w:jc w:val="center"/>
        <w:rPr>
          <w:rFonts w:ascii="Times New Roman" w:hAnsi="Times New Roman" w:cs="Times New Roman"/>
          <w:sz w:val="24"/>
          <w:szCs w:val="24"/>
        </w:rPr>
      </w:pPr>
      <w:r w:rsidRPr="0064715D">
        <w:rPr>
          <w:rFonts w:ascii="Times New Roman" w:hAnsi="Times New Roman" w:cs="Times New Roman"/>
          <w:noProof/>
          <w:sz w:val="24"/>
          <w:szCs w:val="24"/>
        </w:rPr>
        <w:drawing>
          <wp:inline distT="0" distB="0" distL="0" distR="0" wp14:anchorId="017F2E20" wp14:editId="617944D3">
            <wp:extent cx="2573643" cy="37181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ea.png"/>
                    <pic:cNvPicPr/>
                  </pic:nvPicPr>
                  <pic:blipFill>
                    <a:blip r:embed="rId8"/>
                    <a:stretch>
                      <a:fillRect/>
                    </a:stretch>
                  </pic:blipFill>
                  <pic:spPr>
                    <a:xfrm>
                      <a:off x="0" y="0"/>
                      <a:ext cx="2770604" cy="400269"/>
                    </a:xfrm>
                    <a:prstGeom prst="rect">
                      <a:avLst/>
                    </a:prstGeom>
                  </pic:spPr>
                </pic:pic>
              </a:graphicData>
            </a:graphic>
          </wp:inline>
        </w:drawing>
      </w:r>
    </w:p>
    <w:p w14:paraId="46408963" w14:textId="77777777" w:rsidR="0064715D" w:rsidRDefault="00000000" w:rsidP="0064715D">
      <w:pPr>
        <w:spacing w:after="160"/>
        <w:rPr>
          <w:rFonts w:ascii="Times New Roman" w:hAnsi="Times New Roman" w:cs="Times New Roman"/>
          <w:sz w:val="24"/>
          <w:szCs w:val="24"/>
        </w:rPr>
      </w:pPr>
      <w:r w:rsidRPr="0064715D">
        <w:rPr>
          <w:rFonts w:ascii="Times New Roman" w:hAnsi="Times New Roman" w:cs="Times New Roman"/>
          <w:sz w:val="24"/>
          <w:szCs w:val="24"/>
        </w:rPr>
        <w:t xml:space="preserve">Corrected heat-transfer area from Seider Eq. (12.7). Compare it </w:t>
      </w:r>
      <w:r w:rsidR="0064715D">
        <w:rPr>
          <w:rFonts w:ascii="Times New Roman" w:hAnsi="Times New Roman" w:cs="Times New Roman"/>
          <w:sz w:val="24"/>
          <w:szCs w:val="24"/>
        </w:rPr>
        <w:t xml:space="preserve">the </w:t>
      </w:r>
      <w:r w:rsidRPr="0064715D">
        <w:rPr>
          <w:rFonts w:ascii="Times New Roman" w:hAnsi="Times New Roman" w:cs="Times New Roman"/>
          <w:sz w:val="24"/>
          <w:szCs w:val="24"/>
        </w:rPr>
        <w:t>area obtained by setting Fₜ = 1.</w:t>
      </w:r>
    </w:p>
    <w:p w14:paraId="6C4F5C2B" w14:textId="49AB2894" w:rsidR="00BF5FDD" w:rsidRPr="0064715D" w:rsidRDefault="00000000" w:rsidP="0064715D">
      <w:pPr>
        <w:spacing w:after="160"/>
        <w:rPr>
          <w:rFonts w:ascii="Times New Roman" w:hAnsi="Times New Roman" w:cs="Times New Roman"/>
          <w:b/>
          <w:bCs/>
          <w:sz w:val="24"/>
          <w:szCs w:val="24"/>
        </w:rPr>
      </w:pPr>
      <w:r w:rsidRPr="0064715D">
        <w:rPr>
          <w:rFonts w:ascii="Times New Roman" w:hAnsi="Times New Roman" w:cs="Times New Roman"/>
          <w:b/>
          <w:bCs/>
          <w:sz w:val="24"/>
          <w:szCs w:val="24"/>
        </w:rPr>
        <w:t xml:space="preserve">Equipment </w:t>
      </w:r>
      <w:proofErr w:type="gramStart"/>
      <w:r w:rsidRPr="0064715D">
        <w:rPr>
          <w:rFonts w:ascii="Times New Roman" w:hAnsi="Times New Roman" w:cs="Times New Roman"/>
          <w:b/>
          <w:bCs/>
          <w:sz w:val="24"/>
          <w:szCs w:val="24"/>
        </w:rPr>
        <w:t>purchase</w:t>
      </w:r>
      <w:proofErr w:type="gramEnd"/>
      <w:r w:rsidRPr="0064715D">
        <w:rPr>
          <w:rFonts w:ascii="Times New Roman" w:hAnsi="Times New Roman" w:cs="Times New Roman"/>
          <w:b/>
          <w:bCs/>
          <w:sz w:val="24"/>
          <w:szCs w:val="24"/>
        </w:rPr>
        <w:t xml:space="preserve"> cost</w:t>
      </w:r>
    </w:p>
    <w:p w14:paraId="3B8FC672" w14:textId="3C12FF8F" w:rsidR="00BF5FDD" w:rsidRPr="0064715D" w:rsidRDefault="00000000">
      <w:pPr>
        <w:rPr>
          <w:rFonts w:ascii="Times New Roman" w:hAnsi="Times New Roman" w:cs="Times New Roman"/>
          <w:sz w:val="24"/>
          <w:szCs w:val="24"/>
        </w:rPr>
      </w:pPr>
      <w:r w:rsidRPr="0064715D">
        <w:rPr>
          <w:rFonts w:ascii="Times New Roman" w:hAnsi="Times New Roman" w:cs="Times New Roman"/>
          <w:sz w:val="24"/>
          <w:szCs w:val="24"/>
        </w:rPr>
        <w:t>For the fixed-head exchanger in this activity, Eq. (16.40) gives the base cost C</w:t>
      </w:r>
      <w:r w:rsidR="0064715D" w:rsidRPr="0064715D">
        <w:rPr>
          <w:rFonts w:ascii="Times New Roman" w:hAnsi="Times New Roman" w:cs="Times New Roman"/>
          <w:sz w:val="24"/>
          <w:szCs w:val="24"/>
          <w:vertAlign w:val="subscript"/>
        </w:rPr>
        <w:t>B</w:t>
      </w:r>
      <w:r w:rsidRPr="0064715D">
        <w:rPr>
          <w:rFonts w:ascii="Times New Roman" w:hAnsi="Times New Roman" w:cs="Times New Roman"/>
          <w:sz w:val="24"/>
          <w:szCs w:val="24"/>
        </w:rPr>
        <w:t xml:space="preserve"> in U.S. dollars at CE index 567. The stated pressure, carbon-steel construction, and 20-ft tubes give correction factors Fₚ = Fₘ = F</w:t>
      </w:r>
      <w:r w:rsidR="0064715D" w:rsidRPr="0064715D">
        <w:rPr>
          <w:rFonts w:ascii="Times New Roman" w:hAnsi="Times New Roman" w:cs="Times New Roman"/>
          <w:sz w:val="24"/>
          <w:szCs w:val="24"/>
          <w:vertAlign w:val="subscript"/>
        </w:rPr>
        <w:t>L</w:t>
      </w:r>
      <w:r w:rsidRPr="0064715D">
        <w:rPr>
          <w:rFonts w:ascii="Times New Roman" w:hAnsi="Times New Roman" w:cs="Times New Roman"/>
          <w:sz w:val="24"/>
          <w:szCs w:val="24"/>
        </w:rPr>
        <w:t xml:space="preserve"> = 1. Equations (16.2) and (16.43) combine to give the purchase cost at a chosen cost index.</w:t>
      </w:r>
    </w:p>
    <w:p w14:paraId="15BCE1C0" w14:textId="77777777" w:rsidR="00BF5FDD" w:rsidRPr="0064715D" w:rsidRDefault="00000000">
      <w:pPr>
        <w:pStyle w:val="EquationDisplay"/>
        <w:jc w:val="center"/>
        <w:rPr>
          <w:rFonts w:ascii="Times New Roman" w:hAnsi="Times New Roman" w:cs="Times New Roman"/>
          <w:sz w:val="24"/>
          <w:szCs w:val="24"/>
        </w:rPr>
      </w:pPr>
      <w:r w:rsidRPr="0064715D">
        <w:rPr>
          <w:rFonts w:ascii="Times New Roman" w:hAnsi="Times New Roman" w:cs="Times New Roman"/>
          <w:noProof/>
          <w:sz w:val="24"/>
          <w:szCs w:val="24"/>
        </w:rPr>
        <w:drawing>
          <wp:inline distT="0" distB="0" distL="0" distR="0" wp14:anchorId="3C037B5C" wp14:editId="5773C40C">
            <wp:extent cx="3830135" cy="25764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st.png"/>
                    <pic:cNvPicPr/>
                  </pic:nvPicPr>
                  <pic:blipFill>
                    <a:blip r:embed="rId9"/>
                    <a:stretch>
                      <a:fillRect/>
                    </a:stretch>
                  </pic:blipFill>
                  <pic:spPr>
                    <a:xfrm>
                      <a:off x="0" y="0"/>
                      <a:ext cx="4088635" cy="275033"/>
                    </a:xfrm>
                    <a:prstGeom prst="rect">
                      <a:avLst/>
                    </a:prstGeom>
                  </pic:spPr>
                </pic:pic>
              </a:graphicData>
            </a:graphic>
          </wp:inline>
        </w:drawing>
      </w:r>
    </w:p>
    <w:p w14:paraId="0A2D5087" w14:textId="77777777" w:rsidR="00BF5FDD" w:rsidRPr="0064715D" w:rsidRDefault="00000000">
      <w:pPr>
        <w:pStyle w:val="EquationDisplay"/>
        <w:jc w:val="center"/>
        <w:rPr>
          <w:rFonts w:ascii="Times New Roman" w:hAnsi="Times New Roman" w:cs="Times New Roman"/>
          <w:sz w:val="24"/>
          <w:szCs w:val="24"/>
        </w:rPr>
      </w:pPr>
      <w:r w:rsidRPr="0064715D">
        <w:rPr>
          <w:rFonts w:ascii="Times New Roman" w:hAnsi="Times New Roman" w:cs="Times New Roman"/>
          <w:noProof/>
          <w:sz w:val="24"/>
          <w:szCs w:val="24"/>
        </w:rPr>
        <w:drawing>
          <wp:inline distT="0" distB="0" distL="0" distR="0" wp14:anchorId="5B80FD08" wp14:editId="61B2D326">
            <wp:extent cx="2138623" cy="418706"/>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ex.png"/>
                    <pic:cNvPicPr/>
                  </pic:nvPicPr>
                  <pic:blipFill>
                    <a:blip r:embed="rId10"/>
                    <a:stretch>
                      <a:fillRect/>
                    </a:stretch>
                  </pic:blipFill>
                  <pic:spPr>
                    <a:xfrm>
                      <a:off x="0" y="0"/>
                      <a:ext cx="2426572" cy="475081"/>
                    </a:xfrm>
                    <a:prstGeom prst="rect">
                      <a:avLst/>
                    </a:prstGeom>
                  </pic:spPr>
                </pic:pic>
              </a:graphicData>
            </a:graphic>
          </wp:inline>
        </w:drawing>
      </w:r>
    </w:p>
    <w:p w14:paraId="0777135A" w14:textId="41403AB6" w:rsidR="00BF5FDD" w:rsidRPr="0064715D" w:rsidRDefault="00000000">
      <w:pPr>
        <w:rPr>
          <w:rFonts w:ascii="Times New Roman" w:hAnsi="Times New Roman" w:cs="Times New Roman"/>
          <w:sz w:val="24"/>
          <w:szCs w:val="24"/>
        </w:rPr>
      </w:pPr>
      <w:r w:rsidRPr="0064715D">
        <w:rPr>
          <w:rFonts w:ascii="Times New Roman" w:hAnsi="Times New Roman" w:cs="Times New Roman"/>
          <w:sz w:val="24"/>
          <w:szCs w:val="24"/>
        </w:rPr>
        <w:t>Use I = 567 for this exercise, so the cost-index ratio is 1. A different index would change the price basis; the value 567 is not a present-day index. The fixed-head correlation is applicable only when A lies between 150 and 12,000 ft².</w:t>
      </w:r>
    </w:p>
    <w:p w14:paraId="7E2E2208" w14:textId="77777777" w:rsidR="00BF5FDD" w:rsidRPr="0064715D" w:rsidRDefault="00000000">
      <w:pPr>
        <w:pStyle w:val="Heading1"/>
        <w:rPr>
          <w:rFonts w:ascii="Times New Roman" w:hAnsi="Times New Roman" w:cs="Times New Roman"/>
          <w:szCs w:val="24"/>
        </w:rPr>
      </w:pPr>
      <w:r w:rsidRPr="0064715D">
        <w:rPr>
          <w:rFonts w:ascii="Times New Roman" w:hAnsi="Times New Roman" w:cs="Times New Roman"/>
          <w:szCs w:val="24"/>
        </w:rPr>
        <w:t>MATLAB activity</w:t>
      </w:r>
    </w:p>
    <w:p w14:paraId="4ADC91E7" w14:textId="77777777" w:rsidR="00BF5FDD" w:rsidRPr="0064715D" w:rsidRDefault="00000000">
      <w:pPr>
        <w:pStyle w:val="ListNumber"/>
        <w:keepLines/>
        <w:spacing w:after="160"/>
        <w:rPr>
          <w:rFonts w:ascii="Times New Roman" w:hAnsi="Times New Roman" w:cs="Times New Roman"/>
          <w:sz w:val="24"/>
          <w:szCs w:val="24"/>
        </w:rPr>
      </w:pPr>
      <w:r w:rsidRPr="0064715D">
        <w:rPr>
          <w:rFonts w:ascii="Times New Roman" w:hAnsi="Times New Roman" w:cs="Times New Roman"/>
          <w:b/>
          <w:sz w:val="24"/>
          <w:szCs w:val="24"/>
        </w:rPr>
        <w:t xml:space="preserve">Establish the temperature driving force. </w:t>
      </w:r>
      <w:r w:rsidRPr="0064715D">
        <w:rPr>
          <w:rFonts w:ascii="Times New Roman" w:hAnsi="Times New Roman" w:cs="Times New Roman"/>
          <w:sz w:val="24"/>
          <w:szCs w:val="24"/>
        </w:rPr>
        <w:t xml:space="preserve">Calculate both countercurrent terminal differences and the LMTD. Check that neither terminal difference is negative </w:t>
      </w:r>
      <w:proofErr w:type="gramStart"/>
      <w:r w:rsidRPr="0064715D">
        <w:rPr>
          <w:rFonts w:ascii="Times New Roman" w:hAnsi="Times New Roman" w:cs="Times New Roman"/>
          <w:sz w:val="24"/>
          <w:szCs w:val="24"/>
        </w:rPr>
        <w:t>or</w:t>
      </w:r>
      <w:proofErr w:type="gramEnd"/>
      <w:r w:rsidRPr="0064715D">
        <w:rPr>
          <w:rFonts w:ascii="Times New Roman" w:hAnsi="Times New Roman" w:cs="Times New Roman"/>
          <w:sz w:val="24"/>
          <w:szCs w:val="24"/>
        </w:rPr>
        <w:t xml:space="preserve"> zero. Sketch the two stream temperature profiles.</w:t>
      </w:r>
    </w:p>
    <w:p w14:paraId="0AD634A5" w14:textId="77777777" w:rsidR="00BF5FDD" w:rsidRPr="0064715D" w:rsidRDefault="00000000">
      <w:pPr>
        <w:pStyle w:val="ListNumber"/>
        <w:keepLines/>
        <w:spacing w:after="160"/>
        <w:rPr>
          <w:rFonts w:ascii="Times New Roman" w:hAnsi="Times New Roman" w:cs="Times New Roman"/>
          <w:sz w:val="24"/>
          <w:szCs w:val="24"/>
        </w:rPr>
      </w:pPr>
      <w:r w:rsidRPr="0064715D">
        <w:rPr>
          <w:rFonts w:ascii="Times New Roman" w:hAnsi="Times New Roman" w:cs="Times New Roman"/>
          <w:b/>
          <w:sz w:val="24"/>
          <w:szCs w:val="24"/>
        </w:rPr>
        <w:t xml:space="preserve">Use the correction chart. </w:t>
      </w:r>
      <w:r w:rsidRPr="0064715D">
        <w:rPr>
          <w:rFonts w:ascii="Times New Roman" w:hAnsi="Times New Roman" w:cs="Times New Roman"/>
          <w:sz w:val="24"/>
          <w:szCs w:val="24"/>
        </w:rPr>
        <w:t>Calculate R and S, locate the design point on Figure 1, and record an approximate Fₜ. Compare your reading with Seider Fig. 12.15 if the textbook is available. Explain what a value below 1 means physically.</w:t>
      </w:r>
    </w:p>
    <w:p w14:paraId="56AE5CBB" w14:textId="77777777" w:rsidR="00BF5FDD" w:rsidRPr="0064715D" w:rsidRDefault="00000000">
      <w:pPr>
        <w:pStyle w:val="ListNumber"/>
        <w:keepLines/>
        <w:spacing w:after="160"/>
        <w:rPr>
          <w:rFonts w:ascii="Times New Roman" w:hAnsi="Times New Roman" w:cs="Times New Roman"/>
          <w:sz w:val="24"/>
          <w:szCs w:val="24"/>
        </w:rPr>
      </w:pPr>
      <w:r w:rsidRPr="0064715D">
        <w:rPr>
          <w:rFonts w:ascii="Times New Roman" w:hAnsi="Times New Roman" w:cs="Times New Roman"/>
          <w:b/>
          <w:sz w:val="24"/>
          <w:szCs w:val="24"/>
        </w:rPr>
        <w:t xml:space="preserve">Size the exchanger. </w:t>
      </w:r>
      <w:r w:rsidRPr="0064715D">
        <w:rPr>
          <w:rFonts w:ascii="Times New Roman" w:hAnsi="Times New Roman" w:cs="Times New Roman"/>
          <w:sz w:val="24"/>
          <w:szCs w:val="24"/>
        </w:rPr>
        <w:t>In MATLAB, calculate the area once with Fₜ = 1 and once with your chart reading. Report the percentage change and check that the corrected area falls within the correlation's valid range.</w:t>
      </w:r>
    </w:p>
    <w:p w14:paraId="7A285403" w14:textId="77777777" w:rsidR="00BF5FDD" w:rsidRPr="0064715D" w:rsidRDefault="00000000">
      <w:pPr>
        <w:pStyle w:val="ListNumber"/>
        <w:keepLines/>
        <w:spacing w:after="160"/>
        <w:rPr>
          <w:rFonts w:ascii="Times New Roman" w:hAnsi="Times New Roman" w:cs="Times New Roman"/>
          <w:sz w:val="24"/>
          <w:szCs w:val="24"/>
        </w:rPr>
      </w:pPr>
      <w:r w:rsidRPr="0064715D">
        <w:rPr>
          <w:rFonts w:ascii="Times New Roman" w:hAnsi="Times New Roman" w:cs="Times New Roman"/>
          <w:b/>
          <w:sz w:val="24"/>
          <w:szCs w:val="24"/>
        </w:rPr>
        <w:t xml:space="preserve">Estimate Cₚ. </w:t>
      </w:r>
      <w:r w:rsidRPr="0064715D">
        <w:rPr>
          <w:rFonts w:ascii="Times New Roman" w:hAnsi="Times New Roman" w:cs="Times New Roman"/>
          <w:sz w:val="24"/>
          <w:szCs w:val="24"/>
        </w:rPr>
        <w:t xml:space="preserve">Use the fixed-head base-cost equation for each area. Apply the stated factors and cost-index ratio. Compare the </w:t>
      </w:r>
      <w:proofErr w:type="gramStart"/>
      <w:r w:rsidRPr="0064715D">
        <w:rPr>
          <w:rFonts w:ascii="Times New Roman" w:hAnsi="Times New Roman" w:cs="Times New Roman"/>
          <w:sz w:val="24"/>
          <w:szCs w:val="24"/>
        </w:rPr>
        <w:t>two f.o.b.</w:t>
      </w:r>
      <w:proofErr w:type="gramEnd"/>
      <w:r w:rsidRPr="0064715D">
        <w:rPr>
          <w:rFonts w:ascii="Times New Roman" w:hAnsi="Times New Roman" w:cs="Times New Roman"/>
          <w:sz w:val="24"/>
          <w:szCs w:val="24"/>
        </w:rPr>
        <w:t xml:space="preserve"> purchase-cost estimates and report the percentage change.</w:t>
      </w:r>
    </w:p>
    <w:p w14:paraId="782BEE5F" w14:textId="77777777" w:rsidR="00BF5FDD" w:rsidRPr="0064715D" w:rsidRDefault="00000000">
      <w:pPr>
        <w:pStyle w:val="ListNumber"/>
        <w:keepLines/>
        <w:spacing w:after="160"/>
        <w:rPr>
          <w:rFonts w:ascii="Times New Roman" w:hAnsi="Times New Roman" w:cs="Times New Roman"/>
          <w:sz w:val="24"/>
          <w:szCs w:val="24"/>
        </w:rPr>
      </w:pPr>
      <w:r w:rsidRPr="0064715D">
        <w:rPr>
          <w:rFonts w:ascii="Times New Roman" w:hAnsi="Times New Roman" w:cs="Times New Roman"/>
          <w:b/>
          <w:sz w:val="24"/>
          <w:szCs w:val="24"/>
        </w:rPr>
        <w:t xml:space="preserve">Examine sensitivity. </w:t>
      </w:r>
      <w:r w:rsidRPr="0064715D">
        <w:rPr>
          <w:rFonts w:ascii="Times New Roman" w:hAnsi="Times New Roman" w:cs="Times New Roman"/>
          <w:sz w:val="24"/>
          <w:szCs w:val="24"/>
        </w:rPr>
        <w:t>Plot area and fixed-head purchase cost over hypothetical Fₜ values from 0.75 to 1.00 while holding Q, U, and the terminal temperatures fixed. Mark your chart result. State why these values represent hypothetical arrangements rather than different readings of a single fixed 1-2 exchanger.</w:t>
      </w:r>
    </w:p>
    <w:p w14:paraId="4864B94F" w14:textId="678D9C13" w:rsidR="00BF5FDD" w:rsidRPr="0064715D" w:rsidRDefault="00000000">
      <w:pPr>
        <w:pStyle w:val="ListNumber"/>
        <w:keepLines/>
        <w:spacing w:after="160"/>
        <w:rPr>
          <w:rFonts w:ascii="Times New Roman" w:hAnsi="Times New Roman" w:cs="Times New Roman"/>
          <w:sz w:val="24"/>
          <w:szCs w:val="24"/>
        </w:rPr>
      </w:pPr>
      <w:r w:rsidRPr="0064715D">
        <w:rPr>
          <w:rFonts w:ascii="Times New Roman" w:hAnsi="Times New Roman" w:cs="Times New Roman"/>
          <w:b/>
          <w:sz w:val="24"/>
          <w:szCs w:val="24"/>
        </w:rPr>
        <w:t xml:space="preserve">Make a recommendation. </w:t>
      </w:r>
      <w:r w:rsidRPr="0064715D">
        <w:rPr>
          <w:rFonts w:ascii="Times New Roman" w:hAnsi="Times New Roman" w:cs="Times New Roman"/>
          <w:sz w:val="24"/>
          <w:szCs w:val="24"/>
        </w:rPr>
        <w:t>Explain whether the 1-2 arrangement is acceptable, what information is still needed to choose the exchanger, and why equipment purchase cost alone is insufficient. Seider recommends Fₜ near 0.85 or higher and treats values below 0.75 as generally unacceptable.</w:t>
      </w:r>
    </w:p>
    <w:p w14:paraId="63682FC6" w14:textId="77777777" w:rsidR="00BF5FDD" w:rsidRPr="0064715D" w:rsidRDefault="00000000">
      <w:pPr>
        <w:pStyle w:val="Heading1"/>
        <w:rPr>
          <w:rFonts w:ascii="Times New Roman" w:hAnsi="Times New Roman" w:cs="Times New Roman"/>
          <w:szCs w:val="24"/>
        </w:rPr>
      </w:pPr>
      <w:r w:rsidRPr="0064715D">
        <w:rPr>
          <w:rFonts w:ascii="Times New Roman" w:hAnsi="Times New Roman" w:cs="Times New Roman"/>
          <w:szCs w:val="24"/>
        </w:rPr>
        <w:lastRenderedPageBreak/>
        <w:t>Submission and teaching guidance</w:t>
      </w:r>
    </w:p>
    <w:p w14:paraId="2EFDA38F" w14:textId="77777777" w:rsidR="00BF5FDD" w:rsidRPr="0064715D" w:rsidRDefault="00000000">
      <w:pPr>
        <w:pStyle w:val="Heading2"/>
        <w:rPr>
          <w:rFonts w:ascii="Times New Roman" w:hAnsi="Times New Roman" w:cs="Times New Roman"/>
          <w:sz w:val="24"/>
          <w:szCs w:val="24"/>
        </w:rPr>
      </w:pPr>
      <w:r w:rsidRPr="0064715D">
        <w:rPr>
          <w:rFonts w:ascii="Times New Roman" w:hAnsi="Times New Roman" w:cs="Times New Roman"/>
          <w:sz w:val="24"/>
          <w:szCs w:val="24"/>
        </w:rPr>
        <w:t>What to submit</w:t>
      </w:r>
    </w:p>
    <w:p w14:paraId="53787C9D" w14:textId="77777777" w:rsidR="00BF5FDD" w:rsidRPr="0064715D" w:rsidRDefault="00000000">
      <w:pPr>
        <w:pStyle w:val="ListBullet"/>
        <w:spacing w:after="100"/>
        <w:rPr>
          <w:rFonts w:ascii="Times New Roman" w:hAnsi="Times New Roman" w:cs="Times New Roman"/>
          <w:sz w:val="24"/>
          <w:szCs w:val="24"/>
        </w:rPr>
      </w:pPr>
      <w:r w:rsidRPr="0064715D">
        <w:rPr>
          <w:rFonts w:ascii="Times New Roman" w:hAnsi="Times New Roman" w:cs="Times New Roman"/>
          <w:sz w:val="24"/>
          <w:szCs w:val="24"/>
        </w:rPr>
        <w:t>A completed MATLAB .m script with inputs, validity checks, calculations, and a clearly labeled sensitivity figure.</w:t>
      </w:r>
    </w:p>
    <w:p w14:paraId="505180CE" w14:textId="77777777" w:rsidR="00BF5FDD" w:rsidRPr="0064715D" w:rsidRDefault="00000000">
      <w:pPr>
        <w:pStyle w:val="ListBullet"/>
        <w:spacing w:after="100"/>
        <w:rPr>
          <w:rFonts w:ascii="Times New Roman" w:hAnsi="Times New Roman" w:cs="Times New Roman"/>
          <w:sz w:val="24"/>
          <w:szCs w:val="24"/>
        </w:rPr>
      </w:pPr>
      <w:r w:rsidRPr="0064715D">
        <w:rPr>
          <w:rFonts w:ascii="Times New Roman" w:hAnsi="Times New Roman" w:cs="Times New Roman"/>
          <w:sz w:val="24"/>
          <w:szCs w:val="24"/>
        </w:rPr>
        <w:t xml:space="preserve">A </w:t>
      </w:r>
      <w:proofErr w:type="gramStart"/>
      <w:r w:rsidRPr="0064715D">
        <w:rPr>
          <w:rFonts w:ascii="Times New Roman" w:hAnsi="Times New Roman" w:cs="Times New Roman"/>
          <w:sz w:val="24"/>
          <w:szCs w:val="24"/>
        </w:rPr>
        <w:t>150 to 250 word</w:t>
      </w:r>
      <w:proofErr w:type="gramEnd"/>
      <w:r w:rsidRPr="0064715D">
        <w:rPr>
          <w:rFonts w:ascii="Times New Roman" w:hAnsi="Times New Roman" w:cs="Times New Roman"/>
          <w:sz w:val="24"/>
          <w:szCs w:val="24"/>
        </w:rPr>
        <w:t xml:space="preserve"> design note reporting R, S, the chart reading, both areas, both fixed-head purchase costs, the percentage changes, and the next design check.</w:t>
      </w:r>
    </w:p>
    <w:p w14:paraId="61C73CA5" w14:textId="77777777" w:rsidR="00BF5FDD" w:rsidRPr="0064715D" w:rsidRDefault="00000000">
      <w:pPr>
        <w:pStyle w:val="ListBullet"/>
        <w:spacing w:after="100"/>
        <w:rPr>
          <w:rFonts w:ascii="Times New Roman" w:hAnsi="Times New Roman" w:cs="Times New Roman"/>
          <w:sz w:val="24"/>
          <w:szCs w:val="24"/>
        </w:rPr>
      </w:pPr>
      <w:r w:rsidRPr="0064715D">
        <w:rPr>
          <w:rFonts w:ascii="Times New Roman" w:hAnsi="Times New Roman" w:cs="Times New Roman"/>
          <w:sz w:val="24"/>
          <w:szCs w:val="24"/>
        </w:rPr>
        <w:t>A sentence identifying the reference cost index and distinguishing equipment purchase cost from installed capital investment.</w:t>
      </w:r>
    </w:p>
    <w:p w14:paraId="336E6FAB" w14:textId="77777777" w:rsidR="00BF5FDD" w:rsidRPr="0064715D" w:rsidRDefault="00000000">
      <w:pPr>
        <w:pStyle w:val="Heading2"/>
        <w:rPr>
          <w:rFonts w:ascii="Times New Roman" w:hAnsi="Times New Roman" w:cs="Times New Roman"/>
          <w:sz w:val="24"/>
          <w:szCs w:val="24"/>
        </w:rPr>
      </w:pPr>
      <w:r w:rsidRPr="0064715D">
        <w:rPr>
          <w:rFonts w:ascii="Times New Roman" w:hAnsi="Times New Roman" w:cs="Times New Roman"/>
          <w:sz w:val="24"/>
          <w:szCs w:val="24"/>
        </w:rPr>
        <w:t>What instructors should check</w:t>
      </w:r>
    </w:p>
    <w:p w14:paraId="2EBEB1EA" w14:textId="77777777" w:rsidR="00BF5FDD" w:rsidRPr="0064715D" w:rsidRDefault="00000000">
      <w:pPr>
        <w:rPr>
          <w:rFonts w:ascii="Times New Roman" w:hAnsi="Times New Roman" w:cs="Times New Roman"/>
          <w:sz w:val="24"/>
          <w:szCs w:val="24"/>
        </w:rPr>
      </w:pPr>
      <w:r w:rsidRPr="0064715D">
        <w:rPr>
          <w:rFonts w:ascii="Times New Roman" w:hAnsi="Times New Roman" w:cs="Times New Roman"/>
          <w:sz w:val="24"/>
          <w:szCs w:val="24"/>
        </w:rPr>
        <w:t>Students should read the 1-2 chart using their computed R and S, carry their own reading consistently through area and cost, verify units and correlation range, and interpret the correction as a change in driving force. Small differences caused by chart reading and rounding are expected. Ask students to identify a configuration change if the correction factor is too low.</w:t>
      </w:r>
    </w:p>
    <w:p w14:paraId="1F33C57F" w14:textId="77777777" w:rsidR="00BF5FDD" w:rsidRPr="0064715D" w:rsidRDefault="00000000">
      <w:pPr>
        <w:pStyle w:val="Heading2"/>
        <w:rPr>
          <w:rFonts w:ascii="Times New Roman" w:hAnsi="Times New Roman" w:cs="Times New Roman"/>
          <w:sz w:val="24"/>
          <w:szCs w:val="24"/>
        </w:rPr>
      </w:pPr>
      <w:r w:rsidRPr="0064715D">
        <w:rPr>
          <w:rFonts w:ascii="Times New Roman" w:hAnsi="Times New Roman" w:cs="Times New Roman"/>
          <w:sz w:val="24"/>
          <w:szCs w:val="24"/>
        </w:rPr>
        <w:t>Textbook source</w:t>
      </w:r>
    </w:p>
    <w:p w14:paraId="5BC0BDF2" w14:textId="77777777" w:rsidR="0064715D" w:rsidRPr="0064715D" w:rsidRDefault="00000000">
      <w:pPr>
        <w:rPr>
          <w:rFonts w:ascii="Times New Roman" w:hAnsi="Times New Roman" w:cs="Times New Roman"/>
          <w:sz w:val="24"/>
          <w:szCs w:val="24"/>
        </w:rPr>
      </w:pPr>
      <w:r w:rsidRPr="0064715D">
        <w:rPr>
          <w:rFonts w:ascii="Times New Roman" w:hAnsi="Times New Roman" w:cs="Times New Roman"/>
          <w:sz w:val="24"/>
          <w:szCs w:val="24"/>
        </w:rPr>
        <w:t xml:space="preserve">Seider, W. D., Lewin, D. R., Seader, J. D., Widagdo, S., Gani, R., and Ng, K. M. (2017). Product and Process Design Principles: Synthesis, Analysis, and Evaluation, 4th ed. Wiley. </w:t>
      </w:r>
    </w:p>
    <w:p w14:paraId="5C42FEEE" w14:textId="77777777" w:rsidR="0064715D" w:rsidRPr="0064715D" w:rsidRDefault="00000000">
      <w:pPr>
        <w:rPr>
          <w:rFonts w:ascii="Times New Roman" w:hAnsi="Times New Roman" w:cs="Times New Roman"/>
          <w:i/>
          <w:iCs/>
          <w:sz w:val="24"/>
          <w:szCs w:val="24"/>
        </w:rPr>
      </w:pPr>
      <w:r w:rsidRPr="0064715D">
        <w:rPr>
          <w:rFonts w:ascii="Times New Roman" w:hAnsi="Times New Roman" w:cs="Times New Roman"/>
          <w:i/>
          <w:iCs/>
          <w:sz w:val="24"/>
          <w:szCs w:val="24"/>
        </w:rPr>
        <w:t xml:space="preserve">Relevant material: Section 12.2, </w:t>
      </w:r>
      <w:proofErr w:type="spellStart"/>
      <w:r w:rsidRPr="0064715D">
        <w:rPr>
          <w:rFonts w:ascii="Times New Roman" w:hAnsi="Times New Roman" w:cs="Times New Roman"/>
          <w:i/>
          <w:iCs/>
          <w:sz w:val="24"/>
          <w:szCs w:val="24"/>
        </w:rPr>
        <w:t>Eqs</w:t>
      </w:r>
      <w:proofErr w:type="spellEnd"/>
      <w:r w:rsidRPr="0064715D">
        <w:rPr>
          <w:rFonts w:ascii="Times New Roman" w:hAnsi="Times New Roman" w:cs="Times New Roman"/>
          <w:i/>
          <w:iCs/>
          <w:sz w:val="24"/>
          <w:szCs w:val="24"/>
        </w:rPr>
        <w:t xml:space="preserve">. (12.3) to (12.7), Fig. 12.15; Section 16.5, Eqs. (16.39) to (16.45). </w:t>
      </w:r>
    </w:p>
    <w:p w14:paraId="202C5335" w14:textId="0AF08C1D" w:rsidR="00BF5FDD" w:rsidRPr="0064715D" w:rsidRDefault="00BF5FDD" w:rsidP="0064715D">
      <w:pPr>
        <w:ind w:firstLine="720"/>
        <w:rPr>
          <w:rFonts w:ascii="Times New Roman" w:hAnsi="Times New Roman" w:cs="Times New Roman"/>
          <w:sz w:val="24"/>
          <w:szCs w:val="24"/>
        </w:rPr>
      </w:pPr>
    </w:p>
    <w:sectPr w:rsidR="00BF5FDD" w:rsidRPr="0064715D" w:rsidSect="00034616">
      <w:pgSz w:w="12240" w:h="15840"/>
      <w:pgMar w:top="1094" w:right="1210" w:bottom="1051" w:left="121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jaVu Sans">
    <w:altName w:val="Verdana"/>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28899491">
    <w:abstractNumId w:val="8"/>
  </w:num>
  <w:num w:numId="2" w16cid:durableId="627203369">
    <w:abstractNumId w:val="6"/>
  </w:num>
  <w:num w:numId="3" w16cid:durableId="795565813">
    <w:abstractNumId w:val="5"/>
  </w:num>
  <w:num w:numId="4" w16cid:durableId="751394542">
    <w:abstractNumId w:val="4"/>
  </w:num>
  <w:num w:numId="5" w16cid:durableId="2133863896">
    <w:abstractNumId w:val="7"/>
  </w:num>
  <w:num w:numId="6" w16cid:durableId="1516075094">
    <w:abstractNumId w:val="3"/>
  </w:num>
  <w:num w:numId="7" w16cid:durableId="1202209980">
    <w:abstractNumId w:val="2"/>
  </w:num>
  <w:num w:numId="8" w16cid:durableId="1949774789">
    <w:abstractNumId w:val="1"/>
  </w:num>
  <w:num w:numId="9" w16cid:durableId="98462346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4715D"/>
    <w:rsid w:val="00AA1D8D"/>
    <w:rsid w:val="00B43E19"/>
    <w:rsid w:val="00B47730"/>
    <w:rsid w:val="00BF5FDD"/>
    <w:rsid w:val="00C41E7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FA408C"/>
  <w14:defaultImageDpi w14:val="300"/>
  <w15:docId w15:val="{823FF8D2-E886-4744-8C40-88D867C92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rFonts w:ascii="DejaVu Sans" w:hAnsi="DejaVu Sans"/>
      <w:color w:val="000000"/>
      <w:sz w:val="19"/>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b/>
      <w:spacing w:val="5"/>
      <w:kern w:val="28"/>
      <w:sz w:val="37"/>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59" w:lineRule="auto"/>
    </w:pPr>
    <w:rPr>
      <w:bCs/>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quationDisplay">
    <w:name w:val="EquationDisplay"/>
    <w:pPr>
      <w:keepLines/>
      <w:spacing w:before="20" w:after="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881</Words>
  <Characters>5026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Estimating Shell and Tube Heat Exchanger Purchase Cost with MATLAB</dc:title>
  <dc:subject/>
  <dc:creator>Cristiano Reis</dc:creator>
  <cp:keywords/>
  <dc:description>generated by python-docx</dc:description>
  <cp:lastModifiedBy>Reis, Cristiano</cp:lastModifiedBy>
  <cp:revision>2</cp:revision>
  <dcterms:created xsi:type="dcterms:W3CDTF">2026-09-25T15:18:00Z</dcterms:created>
  <dcterms:modified xsi:type="dcterms:W3CDTF">2026-09-25T15:18:00Z</dcterms:modified>
  <cp:category/>
</cp:coreProperties>
</file>