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904913A" w14:textId="77777777" w:rsidR="004946DF" w:rsidRDefault="004946DF"/>
    <w:tbl>
      <w:tblPr>
        <w:tblStyle w:val="a"/>
        <w:tblW w:w="14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8"/>
        <w:gridCol w:w="5130"/>
        <w:gridCol w:w="427"/>
        <w:gridCol w:w="1736"/>
        <w:gridCol w:w="5265"/>
      </w:tblGrid>
      <w:tr w:rsidR="004946DF" w14:paraId="0A4972FB" w14:textId="77777777">
        <w:trPr>
          <w:trHeight w:val="700"/>
        </w:trPr>
        <w:tc>
          <w:tcPr>
            <w:tcW w:w="14916" w:type="dxa"/>
            <w:gridSpan w:val="5"/>
            <w:shd w:val="clear" w:color="auto" w:fill="D9D9D9"/>
            <w:vAlign w:val="center"/>
          </w:tcPr>
          <w:p w14:paraId="4F444CF7" w14:textId="1A4F9631" w:rsidR="004946DF" w:rsidRDefault="00DC5448" w:rsidP="008318F1">
            <w:r>
              <w:rPr>
                <w:b/>
                <w:sz w:val="28"/>
                <w:szCs w:val="28"/>
              </w:rPr>
              <w:t>Elementary Education Lesson Plan</w:t>
            </w:r>
            <w:r w:rsidR="008318F1">
              <w:rPr>
                <w:b/>
                <w:sz w:val="28"/>
                <w:szCs w:val="28"/>
              </w:rPr>
              <w:t>: Wave Motion in 2- and 3-Dimensions</w:t>
            </w:r>
          </w:p>
        </w:tc>
      </w:tr>
      <w:tr w:rsidR="00894878" w14:paraId="117E7A10" w14:textId="77777777" w:rsidTr="00894878">
        <w:trPr>
          <w:trHeight w:val="460"/>
        </w:trPr>
        <w:tc>
          <w:tcPr>
            <w:tcW w:w="2358" w:type="dxa"/>
            <w:shd w:val="clear" w:color="auto" w:fill="D9D9D9"/>
            <w:vAlign w:val="center"/>
          </w:tcPr>
          <w:p w14:paraId="3ECCB318" w14:textId="77777777" w:rsidR="004946DF" w:rsidRDefault="00DC5448">
            <w:r>
              <w:rPr>
                <w:b/>
              </w:rPr>
              <w:t>Name</w:t>
            </w:r>
          </w:p>
        </w:tc>
        <w:tc>
          <w:tcPr>
            <w:tcW w:w="5130" w:type="dxa"/>
            <w:shd w:val="clear" w:color="auto" w:fill="FFFFFF"/>
            <w:vAlign w:val="center"/>
          </w:tcPr>
          <w:p w14:paraId="4DFF6421" w14:textId="587D6FC7" w:rsidR="004946DF" w:rsidRDefault="004166E4">
            <w:r>
              <w:t>Anna Courtier, Abigail Christensen, and Alexis Miller (University of Wisconsin-Whitewater)</w:t>
            </w:r>
          </w:p>
        </w:tc>
        <w:tc>
          <w:tcPr>
            <w:tcW w:w="2163" w:type="dxa"/>
            <w:gridSpan w:val="2"/>
            <w:shd w:val="clear" w:color="auto" w:fill="D9D9D9"/>
            <w:vAlign w:val="center"/>
          </w:tcPr>
          <w:p w14:paraId="59B1199B" w14:textId="5B485178" w:rsidR="004946DF" w:rsidRDefault="00894878">
            <w:r>
              <w:rPr>
                <w:b/>
              </w:rPr>
              <w:t>Acknowledgments</w:t>
            </w:r>
          </w:p>
        </w:tc>
        <w:tc>
          <w:tcPr>
            <w:tcW w:w="5265" w:type="dxa"/>
          </w:tcPr>
          <w:p w14:paraId="28BDB967" w14:textId="051C9617" w:rsidR="004946DF" w:rsidRDefault="00894878">
            <w:r>
              <w:t>This lesson was develop</w:t>
            </w:r>
            <w:r w:rsidR="00471248">
              <w:t>ed as part of NSF CSEDI grant #1458184, awarded to the University of Wisconsin-Whitewater, 2014-2017.</w:t>
            </w:r>
          </w:p>
        </w:tc>
      </w:tr>
      <w:tr w:rsidR="00894878" w14:paraId="30ACAD6C" w14:textId="77777777" w:rsidTr="00894878">
        <w:trPr>
          <w:trHeight w:val="460"/>
        </w:trPr>
        <w:tc>
          <w:tcPr>
            <w:tcW w:w="2358" w:type="dxa"/>
            <w:shd w:val="clear" w:color="auto" w:fill="D9D9D9"/>
            <w:vAlign w:val="center"/>
          </w:tcPr>
          <w:p w14:paraId="3C1D82E4" w14:textId="77777777" w:rsidR="004946DF" w:rsidRDefault="00DC5448">
            <w:r>
              <w:rPr>
                <w:b/>
              </w:rPr>
              <w:t>Grade Level</w:t>
            </w:r>
          </w:p>
        </w:tc>
        <w:tc>
          <w:tcPr>
            <w:tcW w:w="5130" w:type="dxa"/>
            <w:shd w:val="clear" w:color="auto" w:fill="FFFFFF"/>
            <w:vAlign w:val="center"/>
          </w:tcPr>
          <w:p w14:paraId="53333ED1" w14:textId="348118EC" w:rsidR="004946DF" w:rsidRDefault="004166E4">
            <w:r>
              <w:t>Upper elementary (with suggestions for scaling to middle/high school)</w:t>
            </w:r>
          </w:p>
        </w:tc>
        <w:tc>
          <w:tcPr>
            <w:tcW w:w="2163" w:type="dxa"/>
            <w:gridSpan w:val="2"/>
            <w:shd w:val="clear" w:color="auto" w:fill="D9D9D9"/>
            <w:vAlign w:val="center"/>
          </w:tcPr>
          <w:p w14:paraId="6FFDB788" w14:textId="77777777" w:rsidR="004946DF" w:rsidRDefault="00DC5448">
            <w:r>
              <w:rPr>
                <w:b/>
              </w:rPr>
              <w:t>Subject/Class</w:t>
            </w:r>
          </w:p>
        </w:tc>
        <w:tc>
          <w:tcPr>
            <w:tcW w:w="5265" w:type="dxa"/>
          </w:tcPr>
          <w:p w14:paraId="7376D3EA" w14:textId="2EBCFBB7" w:rsidR="004946DF" w:rsidRDefault="00DC5448">
            <w:r>
              <w:t xml:space="preserve">Science- </w:t>
            </w:r>
            <w:r w:rsidR="004166E4">
              <w:t xml:space="preserve">Earth Science, </w:t>
            </w:r>
            <w:r>
              <w:t>Geology</w:t>
            </w:r>
            <w:r w:rsidR="008F5574">
              <w:t>, Math/Mode</w:t>
            </w:r>
            <w:r w:rsidR="004166E4">
              <w:t>ling</w:t>
            </w:r>
          </w:p>
        </w:tc>
      </w:tr>
      <w:tr w:rsidR="00894878" w14:paraId="58E62F9E" w14:textId="77777777" w:rsidTr="00894878">
        <w:trPr>
          <w:trHeight w:val="460"/>
        </w:trPr>
        <w:tc>
          <w:tcPr>
            <w:tcW w:w="2358" w:type="dxa"/>
            <w:shd w:val="clear" w:color="auto" w:fill="D9D9D9"/>
            <w:vAlign w:val="center"/>
          </w:tcPr>
          <w:p w14:paraId="6B85D3FC" w14:textId="77777777" w:rsidR="004946DF" w:rsidRDefault="00DC5448">
            <w:r>
              <w:rPr>
                <w:b/>
              </w:rPr>
              <w:t>Date</w:t>
            </w:r>
          </w:p>
        </w:tc>
        <w:tc>
          <w:tcPr>
            <w:tcW w:w="5130" w:type="dxa"/>
            <w:shd w:val="clear" w:color="auto" w:fill="FFFFFF"/>
            <w:vAlign w:val="center"/>
          </w:tcPr>
          <w:p w14:paraId="08225CE4" w14:textId="1326F49D" w:rsidR="004946DF" w:rsidRDefault="004166E4">
            <w:r>
              <w:t>Summer 2017</w:t>
            </w:r>
          </w:p>
        </w:tc>
        <w:tc>
          <w:tcPr>
            <w:tcW w:w="2163" w:type="dxa"/>
            <w:gridSpan w:val="2"/>
            <w:shd w:val="clear" w:color="auto" w:fill="D9D9D9"/>
            <w:vAlign w:val="center"/>
          </w:tcPr>
          <w:p w14:paraId="29525180" w14:textId="77777777" w:rsidR="004946DF" w:rsidRDefault="00DC5448">
            <w:r>
              <w:rPr>
                <w:b/>
              </w:rPr>
              <w:t>Time</w:t>
            </w:r>
          </w:p>
        </w:tc>
        <w:tc>
          <w:tcPr>
            <w:tcW w:w="5265" w:type="dxa"/>
          </w:tcPr>
          <w:p w14:paraId="560D5797" w14:textId="77777777" w:rsidR="004946DF" w:rsidRDefault="004946DF"/>
        </w:tc>
      </w:tr>
      <w:tr w:rsidR="004946DF" w14:paraId="02791E3D" w14:textId="77777777">
        <w:trPr>
          <w:trHeight w:val="160"/>
        </w:trPr>
        <w:tc>
          <w:tcPr>
            <w:tcW w:w="7488" w:type="dxa"/>
            <w:gridSpan w:val="2"/>
            <w:shd w:val="clear" w:color="auto" w:fill="D9D9D9"/>
            <w:vAlign w:val="center"/>
          </w:tcPr>
          <w:p w14:paraId="11BDB298" w14:textId="77777777" w:rsidR="004946DF" w:rsidRDefault="00DC5448">
            <w:r>
              <w:rPr>
                <w:b/>
              </w:rPr>
              <w:t xml:space="preserve">Central Focus: </w:t>
            </w:r>
            <w:r>
              <w:t>the larger goal for the unit that drives daily objectives.</w:t>
            </w:r>
          </w:p>
        </w:tc>
        <w:tc>
          <w:tcPr>
            <w:tcW w:w="7428" w:type="dxa"/>
            <w:gridSpan w:val="3"/>
            <w:shd w:val="clear" w:color="auto" w:fill="D9D9D9"/>
            <w:vAlign w:val="center"/>
          </w:tcPr>
          <w:p w14:paraId="35791DCD" w14:textId="77777777" w:rsidR="004946DF" w:rsidRDefault="00DC5448">
            <w:r>
              <w:rPr>
                <w:b/>
              </w:rPr>
              <w:t xml:space="preserve">Learning Objective(s)  - </w:t>
            </w:r>
            <w:r>
              <w:t>specific component goals that help achieve the central focus.  If goals are differentiated, include that information here.</w:t>
            </w:r>
          </w:p>
        </w:tc>
      </w:tr>
      <w:tr w:rsidR="004946DF" w14:paraId="66A7E193" w14:textId="77777777">
        <w:trPr>
          <w:trHeight w:val="1240"/>
        </w:trPr>
        <w:tc>
          <w:tcPr>
            <w:tcW w:w="7488" w:type="dxa"/>
            <w:gridSpan w:val="2"/>
          </w:tcPr>
          <w:p w14:paraId="0CDA194D" w14:textId="4EF8CD7D" w:rsidR="004946DF" w:rsidRDefault="004166E4" w:rsidP="004166E4">
            <w:r>
              <w:t xml:space="preserve">This is the </w:t>
            </w:r>
            <w:r w:rsidR="008318F1">
              <w:t>third</w:t>
            </w:r>
            <w:r>
              <w:t xml:space="preserve"> in a series of three lessons that focus on two and three dimensional thinking, modelling, and earth structure. </w:t>
            </w:r>
            <w:r w:rsidR="0001410D">
              <w:t>The second lesson in this series highlighted that surface observations and coring are not enough to study the interior of the Earth. This lesson is meant to introduce the tools that scientists use to study Earth’s interior.</w:t>
            </w:r>
            <w:r w:rsidR="0001410D">
              <w:t xml:space="preserve"> </w:t>
            </w:r>
            <w:r>
              <w:t>The main goal</w:t>
            </w:r>
            <w:r w:rsidR="00DC5448">
              <w:t xml:space="preserve"> </w:t>
            </w:r>
            <w:r>
              <w:t xml:space="preserve">of this lesson is to develop a sense of two- and three-dimensional </w:t>
            </w:r>
            <w:r w:rsidR="007D453E">
              <w:t>wave motion that is associated with earthquakes and used to study the interior of the earth</w:t>
            </w:r>
            <w:r>
              <w:t>.</w:t>
            </w:r>
            <w:r w:rsidR="0001410D">
              <w:t xml:space="preserve"> </w:t>
            </w:r>
          </w:p>
          <w:p w14:paraId="26094962" w14:textId="77777777" w:rsidR="00B050C9" w:rsidRDefault="00B050C9" w:rsidP="004166E4"/>
          <w:p w14:paraId="7B89B8B0" w14:textId="1BF717F0" w:rsidR="00B050C9" w:rsidRDefault="00B050C9" w:rsidP="004166E4">
            <w:r>
              <w:t>Rationale: Three-dimensional thinking is difficult for students from the elementary through the college level. Introducing activities that incorporate spatial models in the elementary levels helps to create a foundation for lessons in spatial awareness and modeling.</w:t>
            </w:r>
          </w:p>
        </w:tc>
        <w:tc>
          <w:tcPr>
            <w:tcW w:w="7428" w:type="dxa"/>
            <w:gridSpan w:val="3"/>
          </w:tcPr>
          <w:p w14:paraId="3C6B0BA6" w14:textId="75CF6E40" w:rsidR="004166E4" w:rsidRDefault="00DE1D30" w:rsidP="00B050C9">
            <w:pPr>
              <w:pStyle w:val="ListParagraph"/>
              <w:numPr>
                <w:ilvl w:val="0"/>
                <w:numId w:val="8"/>
              </w:numPr>
            </w:pPr>
            <w:r>
              <w:t>Students will be able to model wave motion in three dimensions with slinkies.</w:t>
            </w:r>
          </w:p>
          <w:p w14:paraId="31C57BFF" w14:textId="32DAA02B" w:rsidR="00DE1D30" w:rsidRDefault="00DE1D30" w:rsidP="00B050C9">
            <w:pPr>
              <w:pStyle w:val="ListParagraph"/>
              <w:numPr>
                <w:ilvl w:val="0"/>
                <w:numId w:val="8"/>
              </w:numPr>
            </w:pPr>
            <w:r>
              <w:t>Students will be able to produce motion in three dimensions with iPads.</w:t>
            </w:r>
          </w:p>
          <w:p w14:paraId="51ECD814" w14:textId="062A542E" w:rsidR="004F3808" w:rsidRDefault="004F3808" w:rsidP="00B050C9">
            <w:pPr>
              <w:pStyle w:val="ListParagraph"/>
              <w:numPr>
                <w:ilvl w:val="0"/>
                <w:numId w:val="8"/>
              </w:numPr>
            </w:pPr>
            <w:r>
              <w:t>Student will connect wave motion to earthquakes and earth structure.</w:t>
            </w:r>
          </w:p>
          <w:p w14:paraId="277A72FD" w14:textId="1E5B1F98" w:rsidR="004166E4" w:rsidRDefault="00B050C9" w:rsidP="00B050C9">
            <w:pPr>
              <w:pStyle w:val="ListParagraph"/>
              <w:numPr>
                <w:ilvl w:val="0"/>
                <w:numId w:val="8"/>
              </w:numPr>
            </w:pPr>
            <w:r>
              <w:t>Extension</w:t>
            </w:r>
            <w:r w:rsidR="004166E4">
              <w:t xml:space="preserve">: Students </w:t>
            </w:r>
            <w:r w:rsidR="004F3808">
              <w:t>can calculate wave velocities and/or travel times, and thicknesses of earth layers.</w:t>
            </w:r>
          </w:p>
          <w:p w14:paraId="2C37759D" w14:textId="21C1F68D" w:rsidR="004166E4" w:rsidRDefault="004166E4"/>
        </w:tc>
      </w:tr>
      <w:tr w:rsidR="004946DF" w14:paraId="1E5A642B" w14:textId="77777777">
        <w:trPr>
          <w:trHeight w:val="160"/>
        </w:trPr>
        <w:tc>
          <w:tcPr>
            <w:tcW w:w="7488" w:type="dxa"/>
            <w:gridSpan w:val="2"/>
            <w:shd w:val="clear" w:color="auto" w:fill="D9D9D9"/>
            <w:vAlign w:val="center"/>
          </w:tcPr>
          <w:p w14:paraId="5185A090" w14:textId="0032AB19" w:rsidR="004946DF" w:rsidRDefault="00DC5448">
            <w:r>
              <w:rPr>
                <w:b/>
              </w:rPr>
              <w:t>Standard(s)</w:t>
            </w:r>
          </w:p>
        </w:tc>
        <w:tc>
          <w:tcPr>
            <w:tcW w:w="7428" w:type="dxa"/>
            <w:gridSpan w:val="3"/>
            <w:shd w:val="clear" w:color="auto" w:fill="D9D9D9"/>
            <w:vAlign w:val="center"/>
          </w:tcPr>
          <w:p w14:paraId="0E6D9E31" w14:textId="2964E58F" w:rsidR="004946DF" w:rsidRDefault="00DC5448" w:rsidP="004166E4">
            <w:r>
              <w:rPr>
                <w:b/>
              </w:rPr>
              <w:t xml:space="preserve">Academic Language - </w:t>
            </w:r>
            <w:r>
              <w:t xml:space="preserve">Key vocabulary and language </w:t>
            </w:r>
          </w:p>
        </w:tc>
      </w:tr>
      <w:tr w:rsidR="004946DF" w14:paraId="57ABD70A" w14:textId="77777777">
        <w:trPr>
          <w:trHeight w:val="1580"/>
        </w:trPr>
        <w:tc>
          <w:tcPr>
            <w:tcW w:w="7488" w:type="dxa"/>
            <w:gridSpan w:val="2"/>
          </w:tcPr>
          <w:p w14:paraId="02DC481D" w14:textId="3F896EB4" w:rsidR="004166E4" w:rsidRPr="00B050C9" w:rsidRDefault="004166E4" w:rsidP="004166E4">
            <w:pPr>
              <w:widowControl/>
              <w:spacing w:line="254" w:lineRule="auto"/>
              <w:rPr>
                <w:rFonts w:eastAsia="Arial"/>
                <w:b/>
                <w:sz w:val="22"/>
                <w:szCs w:val="22"/>
              </w:rPr>
            </w:pPr>
            <w:r w:rsidRPr="00B050C9">
              <w:rPr>
                <w:rFonts w:eastAsia="Arial"/>
                <w:b/>
                <w:sz w:val="22"/>
                <w:szCs w:val="22"/>
              </w:rPr>
              <w:t>Developing and Using Models (Science and Engineering Practice)</w:t>
            </w:r>
          </w:p>
          <w:p w14:paraId="57C73535" w14:textId="77777777" w:rsidR="004166E4" w:rsidRPr="00B050C9" w:rsidRDefault="004166E4" w:rsidP="004166E4">
            <w:pPr>
              <w:widowControl/>
              <w:numPr>
                <w:ilvl w:val="0"/>
                <w:numId w:val="2"/>
              </w:numPr>
              <w:spacing w:line="254" w:lineRule="auto"/>
              <w:contextualSpacing/>
              <w:rPr>
                <w:rFonts w:eastAsia="Arial"/>
                <w:sz w:val="22"/>
                <w:szCs w:val="22"/>
              </w:rPr>
            </w:pPr>
            <w:r w:rsidRPr="00B050C9">
              <w:rPr>
                <w:rFonts w:eastAsia="Arial"/>
                <w:sz w:val="22"/>
                <w:szCs w:val="22"/>
              </w:rPr>
              <w:t xml:space="preserve">Modeling in 3–5 builds on K–2 experiences and progresses to building and revising simple models and using models to represent events and design solutions. </w:t>
            </w:r>
          </w:p>
          <w:p w14:paraId="105126B3" w14:textId="77777777" w:rsidR="004166E4" w:rsidRPr="00B050C9" w:rsidRDefault="004166E4" w:rsidP="004166E4">
            <w:pPr>
              <w:widowControl/>
              <w:numPr>
                <w:ilvl w:val="1"/>
                <w:numId w:val="2"/>
              </w:numPr>
              <w:spacing w:line="254" w:lineRule="auto"/>
              <w:contextualSpacing/>
              <w:rPr>
                <w:rFonts w:eastAsia="Arial"/>
                <w:sz w:val="22"/>
                <w:szCs w:val="22"/>
              </w:rPr>
            </w:pPr>
            <w:r w:rsidRPr="00B050C9">
              <w:rPr>
                <w:rFonts w:eastAsia="Arial"/>
                <w:sz w:val="22"/>
                <w:szCs w:val="22"/>
              </w:rPr>
              <w:t>Collaboratively develop and/or revise a model based on evidence that shows the relationships among variables for frequent and regular occurring events.</w:t>
            </w:r>
          </w:p>
          <w:p w14:paraId="34C4F595" w14:textId="3E8D6120" w:rsidR="005B2821" w:rsidRPr="0001410D" w:rsidRDefault="004166E4" w:rsidP="0001410D">
            <w:pPr>
              <w:widowControl/>
              <w:numPr>
                <w:ilvl w:val="1"/>
                <w:numId w:val="2"/>
              </w:numPr>
              <w:spacing w:line="254" w:lineRule="auto"/>
              <w:contextualSpacing/>
              <w:rPr>
                <w:rFonts w:eastAsia="Arial"/>
                <w:sz w:val="22"/>
                <w:szCs w:val="22"/>
              </w:rPr>
            </w:pPr>
            <w:r w:rsidRPr="00B050C9">
              <w:rPr>
                <w:rFonts w:eastAsia="Arial"/>
                <w:sz w:val="22"/>
                <w:szCs w:val="22"/>
              </w:rPr>
              <w:t xml:space="preserve">Identify limitations of models. </w:t>
            </w:r>
          </w:p>
          <w:p w14:paraId="2646D54B" w14:textId="6D3982FA" w:rsidR="004166E4" w:rsidRPr="00B050C9" w:rsidRDefault="004166E4" w:rsidP="004166E4">
            <w:pPr>
              <w:widowControl/>
              <w:spacing w:line="254" w:lineRule="auto"/>
              <w:rPr>
                <w:rFonts w:eastAsia="Arial"/>
                <w:sz w:val="22"/>
                <w:szCs w:val="22"/>
              </w:rPr>
            </w:pPr>
            <w:r w:rsidRPr="00B050C9">
              <w:rPr>
                <w:rFonts w:eastAsia="Arial"/>
                <w:b/>
                <w:sz w:val="22"/>
                <w:szCs w:val="22"/>
              </w:rPr>
              <w:t>Scale, Proportion, and Quantity (Cross Cutting Practice)</w:t>
            </w:r>
          </w:p>
          <w:p w14:paraId="067169B4" w14:textId="5262A2C9" w:rsidR="004166E4" w:rsidRPr="00B050C9" w:rsidRDefault="004166E4" w:rsidP="004166E4">
            <w:pPr>
              <w:widowControl/>
              <w:numPr>
                <w:ilvl w:val="0"/>
                <w:numId w:val="1"/>
              </w:numPr>
              <w:spacing w:line="254" w:lineRule="auto"/>
              <w:contextualSpacing/>
              <w:rPr>
                <w:rFonts w:eastAsia="Arial"/>
                <w:sz w:val="22"/>
                <w:szCs w:val="22"/>
              </w:rPr>
            </w:pPr>
            <w:r w:rsidRPr="00B050C9">
              <w:rPr>
                <w:rFonts w:eastAsia="Arial"/>
                <w:sz w:val="22"/>
                <w:szCs w:val="22"/>
              </w:rPr>
              <w:t xml:space="preserve">In considering phenomena, it is critical to recognize what is relevant at different size, time, and energy scales, and to recognize proportional relationships between different quantities as scales change. </w:t>
            </w:r>
          </w:p>
          <w:p w14:paraId="37FC4415" w14:textId="77777777" w:rsidR="004946DF" w:rsidRPr="00B050C9" w:rsidRDefault="004166E4" w:rsidP="004166E4">
            <w:pPr>
              <w:widowControl/>
              <w:numPr>
                <w:ilvl w:val="1"/>
                <w:numId w:val="1"/>
              </w:numPr>
              <w:spacing w:line="254" w:lineRule="auto"/>
              <w:contextualSpacing/>
              <w:rPr>
                <w:rFonts w:eastAsia="Arial"/>
                <w:sz w:val="22"/>
                <w:szCs w:val="22"/>
              </w:rPr>
            </w:pPr>
            <w:r w:rsidRPr="00B050C9">
              <w:rPr>
                <w:rFonts w:eastAsia="Arial"/>
                <w:sz w:val="22"/>
                <w:szCs w:val="22"/>
              </w:rPr>
              <w:t xml:space="preserve">Natural objects and/or observable phenomena exist from the very small to the immensely large or from very short to very long time periods. </w:t>
            </w:r>
          </w:p>
          <w:p w14:paraId="1001EBEF" w14:textId="77777777" w:rsidR="005B2821" w:rsidRPr="00B050C9" w:rsidRDefault="005B2821" w:rsidP="004166E4">
            <w:pPr>
              <w:widowControl/>
              <w:spacing w:line="254" w:lineRule="auto"/>
              <w:contextualSpacing/>
              <w:rPr>
                <w:rFonts w:eastAsia="Arial"/>
                <w:b/>
                <w:sz w:val="22"/>
                <w:szCs w:val="22"/>
              </w:rPr>
            </w:pPr>
          </w:p>
          <w:p w14:paraId="1668D765" w14:textId="77777777" w:rsidR="004166E4" w:rsidRPr="00B050C9" w:rsidRDefault="004166E4" w:rsidP="004166E4">
            <w:pPr>
              <w:widowControl/>
              <w:spacing w:line="254" w:lineRule="auto"/>
              <w:rPr>
                <w:rFonts w:eastAsia="Arial"/>
                <w:b/>
                <w:sz w:val="22"/>
                <w:szCs w:val="22"/>
              </w:rPr>
            </w:pPr>
            <w:r w:rsidRPr="00B050C9">
              <w:rPr>
                <w:rFonts w:eastAsia="Arial"/>
                <w:b/>
                <w:sz w:val="22"/>
                <w:szCs w:val="22"/>
              </w:rPr>
              <w:t>ESS2.B Plate tectonics and large-scale system interactions (Disciplinary Core Standard)</w:t>
            </w:r>
          </w:p>
          <w:p w14:paraId="4F1BF5AA" w14:textId="77777777" w:rsidR="004166E4" w:rsidRPr="00B050C9" w:rsidRDefault="004166E4" w:rsidP="004166E4">
            <w:pPr>
              <w:widowControl/>
              <w:numPr>
                <w:ilvl w:val="0"/>
                <w:numId w:val="3"/>
              </w:numPr>
              <w:spacing w:line="254" w:lineRule="auto"/>
              <w:contextualSpacing/>
              <w:rPr>
                <w:rFonts w:eastAsia="Arial"/>
                <w:sz w:val="22"/>
                <w:szCs w:val="22"/>
              </w:rPr>
            </w:pPr>
            <w:r w:rsidRPr="00B050C9">
              <w:rPr>
                <w:rFonts w:eastAsia="Arial"/>
                <w:sz w:val="22"/>
                <w:szCs w:val="22"/>
              </w:rPr>
              <w:t xml:space="preserve">Earth’s physical features occur in patterns, as do earthquakes and volcanoes. Maps can be used to locate features and determine patterns in those events. </w:t>
            </w:r>
          </w:p>
          <w:p w14:paraId="0CC1791A" w14:textId="47BADF98" w:rsidR="004166E4" w:rsidRPr="004166E4" w:rsidRDefault="004166E4" w:rsidP="004166E4">
            <w:pPr>
              <w:widowControl/>
              <w:spacing w:line="254" w:lineRule="auto"/>
              <w:contextualSpacing/>
              <w:rPr>
                <w:rFonts w:ascii="Arial" w:eastAsia="Arial" w:hAnsi="Arial" w:cs="Arial"/>
                <w:b/>
                <w:sz w:val="22"/>
                <w:szCs w:val="22"/>
              </w:rPr>
            </w:pPr>
          </w:p>
        </w:tc>
        <w:tc>
          <w:tcPr>
            <w:tcW w:w="7428" w:type="dxa"/>
            <w:gridSpan w:val="3"/>
          </w:tcPr>
          <w:p w14:paraId="1F881A36" w14:textId="322DA862" w:rsidR="00997CED" w:rsidRDefault="00997CED" w:rsidP="005D62F2">
            <w:pPr>
              <w:pStyle w:val="ListParagraph"/>
              <w:numPr>
                <w:ilvl w:val="0"/>
                <w:numId w:val="4"/>
              </w:numPr>
            </w:pPr>
            <w:r>
              <w:lastRenderedPageBreak/>
              <w:t xml:space="preserve">Model: </w:t>
            </w:r>
            <w:r w:rsidR="005B2821">
              <w:t xml:space="preserve">something that represents another thing, often a smaller version of the original </w:t>
            </w:r>
          </w:p>
          <w:p w14:paraId="754F85C0" w14:textId="5075BB57" w:rsidR="004946DF" w:rsidRDefault="00DC5448" w:rsidP="005D62F2">
            <w:pPr>
              <w:pStyle w:val="ListParagraph"/>
              <w:numPr>
                <w:ilvl w:val="0"/>
                <w:numId w:val="4"/>
              </w:numPr>
            </w:pPr>
            <w:r>
              <w:t>Earth</w:t>
            </w:r>
            <w:r w:rsidR="004F3808">
              <w:t>quake</w:t>
            </w:r>
            <w:r>
              <w:t xml:space="preserve">: </w:t>
            </w:r>
            <w:r w:rsidR="004F3808">
              <w:t xml:space="preserve">Sudden motion within the earth and the associated release of energy </w:t>
            </w:r>
          </w:p>
          <w:p w14:paraId="599870E4" w14:textId="51DD4888" w:rsidR="009B456B" w:rsidRDefault="004F3808" w:rsidP="005D62F2">
            <w:pPr>
              <w:pStyle w:val="ListParagraph"/>
              <w:numPr>
                <w:ilvl w:val="0"/>
                <w:numId w:val="4"/>
              </w:numPr>
            </w:pPr>
            <w:r>
              <w:t>Wave: the type of energy that comes an earthquake</w:t>
            </w:r>
          </w:p>
          <w:p w14:paraId="458A7AEB" w14:textId="77777777" w:rsidR="00186F8E" w:rsidRDefault="00186F8E" w:rsidP="00186F8E">
            <w:pPr>
              <w:pStyle w:val="ListParagraph"/>
              <w:numPr>
                <w:ilvl w:val="0"/>
                <w:numId w:val="4"/>
              </w:numPr>
            </w:pPr>
            <w:r>
              <w:t>Three-dimensional (3D): a shape that has length, width, and height or depth (ex. globe)</w:t>
            </w:r>
          </w:p>
          <w:p w14:paraId="5E38D684" w14:textId="6EF21C0A" w:rsidR="00186F8E" w:rsidRDefault="00186F8E" w:rsidP="005D62F2">
            <w:pPr>
              <w:pStyle w:val="ListParagraph"/>
              <w:numPr>
                <w:ilvl w:val="0"/>
                <w:numId w:val="4"/>
              </w:numPr>
            </w:pPr>
            <w:r>
              <w:t>Three-dimensional motion: energy moving in three different directions; up/down, side/side, front/back (Extension: vertical, east/west, north/south)</w:t>
            </w:r>
          </w:p>
          <w:p w14:paraId="69A41AFA" w14:textId="77777777" w:rsidR="004946DF" w:rsidRDefault="004946DF"/>
        </w:tc>
      </w:tr>
      <w:tr w:rsidR="004946DF" w14:paraId="2E4EAAD4" w14:textId="77777777">
        <w:trPr>
          <w:trHeight w:val="160"/>
        </w:trPr>
        <w:tc>
          <w:tcPr>
            <w:tcW w:w="14916" w:type="dxa"/>
            <w:gridSpan w:val="5"/>
            <w:shd w:val="clear" w:color="auto" w:fill="D9D9D9"/>
            <w:vAlign w:val="center"/>
          </w:tcPr>
          <w:p w14:paraId="76657BE3" w14:textId="482FBCB0" w:rsidR="004946DF" w:rsidRDefault="00DC5448">
            <w:pPr>
              <w:rPr>
                <w:color w:val="FF0000"/>
              </w:rPr>
            </w:pPr>
            <w:r>
              <w:rPr>
                <w:b/>
              </w:rPr>
              <w:lastRenderedPageBreak/>
              <w:t xml:space="preserve">Knowledge of students’ prior learning relative to the learning objectives – </w:t>
            </w:r>
            <w:r>
              <w:t>list relevant mastery of prerequisite and related content here</w:t>
            </w:r>
            <w:r>
              <w:rPr>
                <w:b/>
              </w:rPr>
              <w:t>.</w:t>
            </w:r>
          </w:p>
        </w:tc>
      </w:tr>
      <w:tr w:rsidR="004946DF" w14:paraId="60E7D4F6" w14:textId="77777777">
        <w:trPr>
          <w:trHeight w:val="1320"/>
        </w:trPr>
        <w:tc>
          <w:tcPr>
            <w:tcW w:w="14916" w:type="dxa"/>
            <w:gridSpan w:val="5"/>
          </w:tcPr>
          <w:p w14:paraId="3D1EC7E8" w14:textId="2DAA0BDD" w:rsidR="004946DF" w:rsidRDefault="005D62F2">
            <w:r>
              <w:t xml:space="preserve">Students will have some preconceptions about the Earth based on where they live. They may or may not have learned general information about water, </w:t>
            </w:r>
            <w:r w:rsidR="005B2821">
              <w:t xml:space="preserve">continents, </w:t>
            </w:r>
            <w:r>
              <w:t>planets, etc, depending on when this sequence is taug</w:t>
            </w:r>
            <w:r w:rsidR="005B2821">
              <w:t xml:space="preserve">ht. </w:t>
            </w:r>
            <w:r w:rsidR="0062041E">
              <w:t>Students will have some general</w:t>
            </w:r>
            <w:bookmarkStart w:id="0" w:name="_GoBack"/>
            <w:bookmarkEnd w:id="0"/>
            <w:r w:rsidR="00E55B0A">
              <w:t xml:space="preserve"> ideas about energy and waves, but probably not as they apply to this scientific context.</w:t>
            </w:r>
            <w:r w:rsidR="005B2821">
              <w:t xml:space="preserve"> If this lesson is scaled for</w:t>
            </w:r>
            <w:r>
              <w:t xml:space="preserve"> middle or high school, students should have a basic understanding of Earth structure and plate tectonics, though these can be fraught with misconceptions and should be revisited briefly.</w:t>
            </w:r>
            <w:r w:rsidR="00DC5448">
              <w:br/>
            </w:r>
          </w:p>
        </w:tc>
      </w:tr>
      <w:tr w:rsidR="004946DF" w14:paraId="0A31BAAA" w14:textId="77777777">
        <w:trPr>
          <w:trHeight w:val="80"/>
        </w:trPr>
        <w:tc>
          <w:tcPr>
            <w:tcW w:w="7915" w:type="dxa"/>
            <w:gridSpan w:val="3"/>
            <w:shd w:val="clear" w:color="auto" w:fill="D9D9D9"/>
            <w:vAlign w:val="center"/>
          </w:tcPr>
          <w:p w14:paraId="38E1DEB9" w14:textId="0A690A01" w:rsidR="004946DF" w:rsidRDefault="004946DF"/>
        </w:tc>
        <w:tc>
          <w:tcPr>
            <w:tcW w:w="7001" w:type="dxa"/>
            <w:gridSpan w:val="2"/>
            <w:shd w:val="clear" w:color="auto" w:fill="D9D9D9"/>
            <w:vAlign w:val="center"/>
          </w:tcPr>
          <w:p w14:paraId="4C2A34A0" w14:textId="7AB18294" w:rsidR="004946DF" w:rsidRDefault="00DC5448" w:rsidP="000E1D70">
            <w:r>
              <w:rPr>
                <w:b/>
              </w:rPr>
              <w:t xml:space="preserve">Materials </w:t>
            </w:r>
          </w:p>
        </w:tc>
      </w:tr>
      <w:tr w:rsidR="004946DF" w14:paraId="0C2F12BA" w14:textId="77777777">
        <w:trPr>
          <w:trHeight w:val="1020"/>
        </w:trPr>
        <w:tc>
          <w:tcPr>
            <w:tcW w:w="7915" w:type="dxa"/>
            <w:gridSpan w:val="3"/>
          </w:tcPr>
          <w:p w14:paraId="30D2CBBF" w14:textId="77777777" w:rsidR="004946DF" w:rsidRDefault="004946DF"/>
        </w:tc>
        <w:tc>
          <w:tcPr>
            <w:tcW w:w="7001" w:type="dxa"/>
            <w:gridSpan w:val="2"/>
          </w:tcPr>
          <w:p w14:paraId="52AD9DE8" w14:textId="77777777" w:rsidR="000E1D70" w:rsidRDefault="00186F8E">
            <w:r>
              <w:t>Slinkies</w:t>
            </w:r>
          </w:p>
          <w:p w14:paraId="46B7C5AF" w14:textId="77777777" w:rsidR="00186F8E" w:rsidRDefault="00186F8E">
            <w:r>
              <w:t>iPads</w:t>
            </w:r>
          </w:p>
          <w:p w14:paraId="0DD5BFF8" w14:textId="77777777" w:rsidR="00186F8E" w:rsidRDefault="00186F8E"/>
          <w:p w14:paraId="5C3244C4" w14:textId="0F84EB79" w:rsidR="00186F8E" w:rsidRDefault="00186F8E">
            <w:r>
              <w:t>Electronic resources:</w:t>
            </w:r>
          </w:p>
          <w:p w14:paraId="7373A153" w14:textId="71EC35B8" w:rsidR="00186F8E" w:rsidRDefault="00186F8E">
            <w:r>
              <w:t xml:space="preserve">Earthquake distribution map </w:t>
            </w:r>
          </w:p>
          <w:p w14:paraId="283A8E5D" w14:textId="01466B2B" w:rsidR="00186F8E" w:rsidRDefault="00186F8E">
            <w:r>
              <w:t xml:space="preserve">Seismic monitor: </w:t>
            </w:r>
            <w:hyperlink r:id="rId5" w:history="1">
              <w:r w:rsidRPr="00162BB3">
                <w:rPr>
                  <w:rStyle w:val="Hyperlink"/>
                </w:rPr>
                <w:t>http://ds.iris.edu/seismon/</w:t>
              </w:r>
            </w:hyperlink>
          </w:p>
          <w:p w14:paraId="1F6B7B63" w14:textId="77777777" w:rsidR="0001410D" w:rsidRDefault="0001410D">
            <w:r>
              <w:t xml:space="preserve">General map: </w:t>
            </w:r>
          </w:p>
          <w:p w14:paraId="3C4A2190" w14:textId="79693AD6" w:rsidR="00186F8E" w:rsidRPr="0001410D" w:rsidRDefault="0001410D">
            <w:pPr>
              <w:rPr>
                <w:color w:val="0070C0"/>
              </w:rPr>
            </w:pPr>
            <w:hyperlink r:id="rId6" w:history="1">
              <w:r w:rsidRPr="0001410D">
                <w:rPr>
                  <w:rStyle w:val="Hyperlink"/>
                  <w:color w:val="0070C0"/>
                </w:rPr>
                <w:t>https://www-tc.pbs.org/wgbh/nova/education/activities/images/2515_vesuvius_map2.gif</w:t>
              </w:r>
            </w:hyperlink>
          </w:p>
          <w:p w14:paraId="708B505C" w14:textId="77777777" w:rsidR="0001410D" w:rsidRDefault="0001410D"/>
          <w:p w14:paraId="4984D75F" w14:textId="77777777" w:rsidR="00186F8E" w:rsidRDefault="00186F8E"/>
          <w:p w14:paraId="794A3361" w14:textId="77777777" w:rsidR="00186F8E" w:rsidRDefault="00186F8E" w:rsidP="00186F8E">
            <w:r>
              <w:t xml:space="preserve">IRIS earthquake animations </w:t>
            </w:r>
          </w:p>
          <w:p w14:paraId="5195FF27" w14:textId="78E892DD" w:rsidR="00186F8E" w:rsidRDefault="00186F8E" w:rsidP="00186F8E">
            <w:hyperlink r:id="rId7" w:history="1">
              <w:r w:rsidRPr="00162BB3">
                <w:rPr>
                  <w:rStyle w:val="Hyperlink"/>
                </w:rPr>
                <w:t>https://www.iris.edu/hq/inclass/animation/1component_seismogram_building_responds_to_p_s_surface_waves</w:t>
              </w:r>
            </w:hyperlink>
          </w:p>
          <w:p w14:paraId="79D82E3C" w14:textId="77777777" w:rsidR="00186F8E" w:rsidRDefault="00186F8E" w:rsidP="00186F8E"/>
          <w:p w14:paraId="33AC68B3" w14:textId="7C08D4C9" w:rsidR="00186F8E" w:rsidRDefault="00186F8E" w:rsidP="00186F8E">
            <w:hyperlink r:id="rId8" w:history="1">
              <w:r w:rsidRPr="00162BB3">
                <w:rPr>
                  <w:rStyle w:val="Hyperlink"/>
                </w:rPr>
                <w:t>https://www.iris.edu/hq/inclass/animation/3component_seismogram_records_seismicwave_motion</w:t>
              </w:r>
            </w:hyperlink>
          </w:p>
          <w:p w14:paraId="21DF3CE0" w14:textId="6C0FC2AD" w:rsidR="00186F8E" w:rsidRDefault="00186F8E" w:rsidP="00186F8E"/>
        </w:tc>
      </w:tr>
    </w:tbl>
    <w:p w14:paraId="04EE29A3" w14:textId="3600D24E" w:rsidR="004946DF" w:rsidRDefault="00DC5448">
      <w:r>
        <w:br w:type="page"/>
      </w:r>
    </w:p>
    <w:tbl>
      <w:tblPr>
        <w:tblStyle w:val="a0"/>
        <w:tblW w:w="14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49"/>
        <w:gridCol w:w="11682"/>
      </w:tblGrid>
      <w:tr w:rsidR="004946DF" w14:paraId="4664B4ED" w14:textId="77777777">
        <w:trPr>
          <w:trHeight w:val="560"/>
        </w:trPr>
        <w:tc>
          <w:tcPr>
            <w:tcW w:w="14832" w:type="dxa"/>
            <w:gridSpan w:val="2"/>
            <w:shd w:val="clear" w:color="auto" w:fill="D9D9D9"/>
            <w:vAlign w:val="center"/>
          </w:tcPr>
          <w:p w14:paraId="3FC0114E" w14:textId="77777777" w:rsidR="004946DF" w:rsidRDefault="00DC5448">
            <w:r>
              <w:rPr>
                <w:b/>
              </w:rPr>
              <w:lastRenderedPageBreak/>
              <w:t>Instructional Strategies - Procedures</w:t>
            </w:r>
          </w:p>
        </w:tc>
      </w:tr>
      <w:tr w:rsidR="004946DF" w14:paraId="74B4E1BC" w14:textId="77777777">
        <w:trPr>
          <w:trHeight w:val="2900"/>
        </w:trPr>
        <w:tc>
          <w:tcPr>
            <w:tcW w:w="3149" w:type="dxa"/>
            <w:shd w:val="clear" w:color="auto" w:fill="F2F2F2"/>
          </w:tcPr>
          <w:p w14:paraId="207DCEE7" w14:textId="4F361E19" w:rsidR="004946DF" w:rsidRDefault="00DC5448">
            <w:pPr>
              <w:rPr>
                <w:sz w:val="22"/>
                <w:szCs w:val="22"/>
              </w:rPr>
            </w:pPr>
            <w:r>
              <w:rPr>
                <w:b/>
                <w:sz w:val="22"/>
                <w:szCs w:val="22"/>
              </w:rPr>
              <w:t>Building Background</w:t>
            </w:r>
            <w:r>
              <w:rPr>
                <w:sz w:val="22"/>
                <w:szCs w:val="22"/>
              </w:rPr>
              <w:t xml:space="preserve"> (Include Links to Prior Learning)</w:t>
            </w:r>
          </w:p>
          <w:p w14:paraId="15772F7D" w14:textId="77777777" w:rsidR="004946DF" w:rsidRDefault="004946DF">
            <w:pPr>
              <w:rPr>
                <w:sz w:val="22"/>
                <w:szCs w:val="22"/>
              </w:rPr>
            </w:pPr>
          </w:p>
          <w:p w14:paraId="18659166" w14:textId="77777777" w:rsidR="004946DF" w:rsidRDefault="004946DF">
            <w:pPr>
              <w:rPr>
                <w:sz w:val="22"/>
                <w:szCs w:val="22"/>
              </w:rPr>
            </w:pPr>
          </w:p>
          <w:p w14:paraId="0B87B85F" w14:textId="77777777" w:rsidR="004946DF" w:rsidRDefault="004946DF">
            <w:pPr>
              <w:rPr>
                <w:sz w:val="22"/>
                <w:szCs w:val="22"/>
              </w:rPr>
            </w:pPr>
          </w:p>
          <w:p w14:paraId="70B8BE78" w14:textId="77777777" w:rsidR="004946DF" w:rsidRDefault="004946DF">
            <w:pPr>
              <w:rPr>
                <w:sz w:val="22"/>
                <w:szCs w:val="22"/>
              </w:rPr>
            </w:pPr>
          </w:p>
        </w:tc>
        <w:tc>
          <w:tcPr>
            <w:tcW w:w="11683" w:type="dxa"/>
          </w:tcPr>
          <w:p w14:paraId="7A6FF701" w14:textId="77777777" w:rsidR="004946DF" w:rsidRDefault="004946DF"/>
          <w:p w14:paraId="3463D37B" w14:textId="488187E5" w:rsidR="00091CE2" w:rsidRDefault="00091CE2">
            <w:r>
              <w:t xml:space="preserve">Students </w:t>
            </w:r>
            <w:r w:rsidR="0001410D">
              <w:t xml:space="preserve">should be familiar with the spherical shape of the earth and the general interior structure. </w:t>
            </w:r>
            <w:r w:rsidR="008F6390">
              <w:t>Students will have experience looking at maps and thinking about the geography of land and water.</w:t>
            </w:r>
          </w:p>
          <w:p w14:paraId="1E7DA78D" w14:textId="55919D12" w:rsidR="004946DF" w:rsidRPr="00091CE2" w:rsidRDefault="00091CE2" w:rsidP="00091CE2">
            <w:pPr>
              <w:tabs>
                <w:tab w:val="left" w:pos="5080"/>
              </w:tabs>
            </w:pPr>
            <w:r>
              <w:tab/>
            </w:r>
          </w:p>
        </w:tc>
      </w:tr>
      <w:tr w:rsidR="004946DF" w14:paraId="70E8CD34" w14:textId="77777777">
        <w:trPr>
          <w:trHeight w:val="3320"/>
        </w:trPr>
        <w:tc>
          <w:tcPr>
            <w:tcW w:w="3149" w:type="dxa"/>
            <w:shd w:val="clear" w:color="auto" w:fill="F2F2F2"/>
          </w:tcPr>
          <w:p w14:paraId="5A44D125" w14:textId="77777777" w:rsidR="004946DF" w:rsidRDefault="00DC5448">
            <w:pPr>
              <w:rPr>
                <w:sz w:val="22"/>
                <w:szCs w:val="22"/>
              </w:rPr>
            </w:pPr>
            <w:r>
              <w:rPr>
                <w:b/>
                <w:sz w:val="22"/>
                <w:szCs w:val="22"/>
              </w:rPr>
              <w:t>Links to Prior Student Personal, Community, and Cultural Assets</w:t>
            </w:r>
            <w:r>
              <w:rPr>
                <w:sz w:val="22"/>
                <w:szCs w:val="22"/>
              </w:rPr>
              <w:t>: How will you use what you know about personal interests, values, and experiences of the students to aid engagement and learning?</w:t>
            </w:r>
          </w:p>
          <w:p w14:paraId="1D186F5B" w14:textId="77777777" w:rsidR="004946DF" w:rsidRDefault="004946DF">
            <w:pPr>
              <w:rPr>
                <w:sz w:val="22"/>
                <w:szCs w:val="22"/>
              </w:rPr>
            </w:pPr>
          </w:p>
          <w:p w14:paraId="4D74B3A6" w14:textId="77777777" w:rsidR="004946DF" w:rsidRDefault="004946DF">
            <w:pPr>
              <w:rPr>
                <w:sz w:val="22"/>
                <w:szCs w:val="22"/>
              </w:rPr>
            </w:pPr>
          </w:p>
          <w:p w14:paraId="111CCCFC" w14:textId="77777777" w:rsidR="004946DF" w:rsidRDefault="004946DF">
            <w:pPr>
              <w:rPr>
                <w:sz w:val="22"/>
                <w:szCs w:val="22"/>
              </w:rPr>
            </w:pPr>
          </w:p>
          <w:p w14:paraId="18F0A5AF" w14:textId="77777777" w:rsidR="004946DF" w:rsidRDefault="004946DF">
            <w:pPr>
              <w:rPr>
                <w:sz w:val="22"/>
                <w:szCs w:val="22"/>
              </w:rPr>
            </w:pPr>
          </w:p>
        </w:tc>
        <w:tc>
          <w:tcPr>
            <w:tcW w:w="11683" w:type="dxa"/>
          </w:tcPr>
          <w:p w14:paraId="6310DEA6" w14:textId="77777777" w:rsidR="004946DF" w:rsidRDefault="004946DF"/>
          <w:p w14:paraId="41539D2F" w14:textId="1A22A845" w:rsidR="0001410D" w:rsidRDefault="00091CE2" w:rsidP="0001410D">
            <w:r>
              <w:t xml:space="preserve">Many students will be able to identify additional places on the map where they may have lived, traveled, or where relatives of theirs live. </w:t>
            </w:r>
            <w:r w:rsidR="0001410D">
              <w:t xml:space="preserve">Explain that this lesson will explore energy that comes from earthquakes, and share a map of global distribution of earthquakes or the Seismic Monitor app linked in the resources above to highlight where earthquakes happen and develop some personal connections. </w:t>
            </w:r>
          </w:p>
          <w:p w14:paraId="0E359728" w14:textId="77777777" w:rsidR="0001410D" w:rsidRDefault="0001410D" w:rsidP="0001410D"/>
          <w:p w14:paraId="69FCA3AC" w14:textId="77777777" w:rsidR="004946DF" w:rsidRDefault="0001410D" w:rsidP="0001410D">
            <w:r>
              <w:t>NOTE: Emphasize that many earthquakes are too small to feel and most of them are not dangerous.  Students with personal connections to areas marked by lots of earthquakes may become nervous about safety. Explain that while sometimes earthquakes can cause damage, most of them do not.</w:t>
            </w:r>
          </w:p>
          <w:p w14:paraId="1C1FE689" w14:textId="77777777" w:rsidR="00E55B0A" w:rsidRDefault="00E55B0A" w:rsidP="0001410D"/>
          <w:p w14:paraId="193A695D" w14:textId="75ED939A" w:rsidR="00E55B0A" w:rsidRDefault="00E55B0A" w:rsidP="0001410D">
            <w:r>
              <w:t>Students may also be familiar with the general idea of “waves” from connections to the ocean.</w:t>
            </w:r>
          </w:p>
        </w:tc>
      </w:tr>
      <w:tr w:rsidR="004946DF" w14:paraId="74132A4A" w14:textId="77777777">
        <w:tc>
          <w:tcPr>
            <w:tcW w:w="3149" w:type="dxa"/>
            <w:shd w:val="clear" w:color="auto" w:fill="F2F2F2"/>
          </w:tcPr>
          <w:p w14:paraId="2E153B7A" w14:textId="77777777" w:rsidR="004946DF" w:rsidRDefault="00DC5448">
            <w:pPr>
              <w:rPr>
                <w:sz w:val="22"/>
                <w:szCs w:val="22"/>
              </w:rPr>
            </w:pPr>
            <w:r>
              <w:rPr>
                <w:b/>
                <w:sz w:val="22"/>
                <w:szCs w:val="22"/>
              </w:rPr>
              <w:t>Links to Prior Knowledge:</w:t>
            </w:r>
            <w:r>
              <w:rPr>
                <w:sz w:val="22"/>
                <w:szCs w:val="22"/>
              </w:rPr>
              <w:t xml:space="preserve"> How will you tap into prior academic learning – previous lessons and other relevant academic knowledge needed for the lesson?</w:t>
            </w:r>
          </w:p>
        </w:tc>
        <w:tc>
          <w:tcPr>
            <w:tcW w:w="11683" w:type="dxa"/>
          </w:tcPr>
          <w:p w14:paraId="64FBBDD1" w14:textId="77777777" w:rsidR="004946DF" w:rsidRDefault="0001410D">
            <w:r>
              <w:t xml:space="preserve">Remind students that the </w:t>
            </w:r>
            <w:r>
              <w:t>second lesson in this series highlighted that surface observations and coring are not enough to study the interior of the Earth. This lesson is meant to introduce the tools that scientists use to study Earth’s interior.</w:t>
            </w:r>
          </w:p>
          <w:p w14:paraId="28ADE8C6" w14:textId="77777777" w:rsidR="00F97948" w:rsidRDefault="00F97948"/>
          <w:p w14:paraId="7F978D42" w14:textId="32C7B259" w:rsidR="00F97948" w:rsidRDefault="00F97948">
            <w:r>
              <w:t>The earthquake distribution maps can be linked back to the world maps from the first lesson in the series.</w:t>
            </w:r>
          </w:p>
        </w:tc>
      </w:tr>
      <w:tr w:rsidR="004946DF" w14:paraId="6E357C28" w14:textId="77777777">
        <w:trPr>
          <w:trHeight w:val="3100"/>
        </w:trPr>
        <w:tc>
          <w:tcPr>
            <w:tcW w:w="3149" w:type="dxa"/>
            <w:shd w:val="clear" w:color="auto" w:fill="F2F2F2"/>
          </w:tcPr>
          <w:p w14:paraId="1E4A48E7" w14:textId="77777777" w:rsidR="004946DF" w:rsidRDefault="00DC5448">
            <w:pPr>
              <w:rPr>
                <w:sz w:val="22"/>
                <w:szCs w:val="22"/>
              </w:rPr>
            </w:pPr>
            <w:r>
              <w:rPr>
                <w:b/>
                <w:sz w:val="22"/>
                <w:szCs w:val="22"/>
              </w:rPr>
              <w:lastRenderedPageBreak/>
              <w:t>English Language Learners Differentiation to apply:</w:t>
            </w:r>
            <w:r>
              <w:rPr>
                <w:sz w:val="22"/>
                <w:szCs w:val="22"/>
              </w:rPr>
              <w:t xml:space="preserve">  What will you do to provide additional support/scaffolds and extension activities?</w:t>
            </w:r>
          </w:p>
          <w:p w14:paraId="22DB8EAD" w14:textId="77777777" w:rsidR="004946DF" w:rsidRDefault="004946DF">
            <w:pPr>
              <w:rPr>
                <w:sz w:val="22"/>
                <w:szCs w:val="22"/>
              </w:rPr>
            </w:pPr>
          </w:p>
        </w:tc>
        <w:tc>
          <w:tcPr>
            <w:tcW w:w="11683" w:type="dxa"/>
          </w:tcPr>
          <w:p w14:paraId="5BFD44A2" w14:textId="77777777" w:rsidR="004946DF" w:rsidRDefault="004946DF"/>
          <w:p w14:paraId="1E3EE720" w14:textId="013290BD" w:rsidR="004946DF" w:rsidRDefault="00091CE2">
            <w:r>
              <w:t>Identify cognates where appropriate; help translate key vocabulary.  Use cultural connections mentioned above to increase inclusiveness.</w:t>
            </w:r>
          </w:p>
        </w:tc>
      </w:tr>
    </w:tbl>
    <w:p w14:paraId="14E8F9F4" w14:textId="77777777" w:rsidR="004946DF" w:rsidRDefault="004946DF"/>
    <w:p w14:paraId="4607EB6A" w14:textId="77777777" w:rsidR="004946DF" w:rsidRDefault="004946DF"/>
    <w:tbl>
      <w:tblPr>
        <w:tblStyle w:val="a2"/>
        <w:tblW w:w="14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49"/>
        <w:gridCol w:w="11682"/>
      </w:tblGrid>
      <w:tr w:rsidR="004946DF" w14:paraId="5B4B6CA1" w14:textId="77777777">
        <w:trPr>
          <w:trHeight w:val="3100"/>
        </w:trPr>
        <w:tc>
          <w:tcPr>
            <w:tcW w:w="3149" w:type="dxa"/>
            <w:shd w:val="clear" w:color="auto" w:fill="F2F2F2"/>
          </w:tcPr>
          <w:p w14:paraId="38DF0E9C" w14:textId="77777777" w:rsidR="004946DF" w:rsidRDefault="00DC5448">
            <w:pPr>
              <w:rPr>
                <w:sz w:val="22"/>
                <w:szCs w:val="22"/>
              </w:rPr>
            </w:pPr>
            <w:r>
              <w:rPr>
                <w:b/>
                <w:sz w:val="22"/>
                <w:szCs w:val="22"/>
              </w:rPr>
              <w:t>Other Differentiation to apply:</w:t>
            </w:r>
            <w:r>
              <w:rPr>
                <w:sz w:val="22"/>
                <w:szCs w:val="22"/>
              </w:rPr>
              <w:t xml:space="preserve">  What will you do to provide additional support/scaffolds and extension activities?</w:t>
            </w:r>
          </w:p>
          <w:p w14:paraId="60404CFD" w14:textId="77777777" w:rsidR="004946DF" w:rsidRDefault="004946DF">
            <w:pPr>
              <w:rPr>
                <w:sz w:val="22"/>
                <w:szCs w:val="22"/>
              </w:rPr>
            </w:pPr>
          </w:p>
        </w:tc>
        <w:tc>
          <w:tcPr>
            <w:tcW w:w="11683" w:type="dxa"/>
          </w:tcPr>
          <w:p w14:paraId="1DD66958" w14:textId="77777777" w:rsidR="004946DF" w:rsidRDefault="004946DF"/>
          <w:p w14:paraId="2D39D118" w14:textId="1EAD6493" w:rsidR="001872E1" w:rsidRDefault="00091CE2" w:rsidP="00091CE2">
            <w:r>
              <w:t xml:space="preserve">The lesson focuses on </w:t>
            </w:r>
            <w:r w:rsidR="0001410D">
              <w:t>the basics of earthquakes and wave motion</w:t>
            </w:r>
            <w:r>
              <w:t>. To scale to</w:t>
            </w:r>
            <w:r w:rsidR="001872E1">
              <w:t xml:space="preserve"> middle or high school students:</w:t>
            </w:r>
            <w:r>
              <w:t xml:space="preserve"> </w:t>
            </w:r>
            <w:r w:rsidR="00EC5FD7">
              <w:t xml:space="preserve"> </w:t>
            </w:r>
          </w:p>
          <w:p w14:paraId="342D624E" w14:textId="556EAD66" w:rsidR="001F3462" w:rsidRDefault="0001410D" w:rsidP="001F3462">
            <w:pPr>
              <w:pStyle w:val="ListParagraph"/>
              <w:numPr>
                <w:ilvl w:val="0"/>
                <w:numId w:val="5"/>
              </w:numPr>
            </w:pPr>
            <w:r>
              <w:t>Use density of earth layers, wave velocity, and travel time to calculate thicknesses of Earth’s layers</w:t>
            </w:r>
          </w:p>
          <w:p w14:paraId="11FF1586" w14:textId="77777777" w:rsidR="001F3462" w:rsidRDefault="001F3462" w:rsidP="001F3462">
            <w:pPr>
              <w:pStyle w:val="ListParagraph"/>
              <w:numPr>
                <w:ilvl w:val="0"/>
                <w:numId w:val="5"/>
              </w:numPr>
            </w:pPr>
            <w:r>
              <w:t>Investigate Citizen Science initiatives for earthquake monitoring</w:t>
            </w:r>
          </w:p>
          <w:p w14:paraId="01E965A3" w14:textId="77777777" w:rsidR="001F3462" w:rsidRDefault="001F3462" w:rsidP="001F3462">
            <w:pPr>
              <w:pStyle w:val="ListParagraph"/>
              <w:numPr>
                <w:ilvl w:val="0"/>
                <w:numId w:val="5"/>
              </w:numPr>
            </w:pPr>
            <w:r>
              <w:t>Investigate earthquake alert systems and warning times for different types of seismic waves</w:t>
            </w:r>
          </w:p>
          <w:p w14:paraId="2C473F66" w14:textId="4457F26A" w:rsidR="008F6390" w:rsidRDefault="008F6390" w:rsidP="001F3462">
            <w:pPr>
              <w:pStyle w:val="ListParagraph"/>
              <w:numPr>
                <w:ilvl w:val="0"/>
                <w:numId w:val="5"/>
              </w:numPr>
            </w:pPr>
            <w:r>
              <w:t>Use earthquake distribution maps along with other physical features to make connections with plate tectonics.</w:t>
            </w:r>
          </w:p>
          <w:p w14:paraId="71160B63" w14:textId="6C794886" w:rsidR="0057753C" w:rsidRDefault="0057753C" w:rsidP="001F3462">
            <w:pPr>
              <w:pStyle w:val="ListParagraph"/>
              <w:numPr>
                <w:ilvl w:val="0"/>
                <w:numId w:val="5"/>
              </w:numPr>
            </w:pPr>
            <w:r>
              <w:t xml:space="preserve">Show additional animations of real earthquake wavefronts travelling across the USArray seismometer network. Animations and explanations are available here: </w:t>
            </w:r>
            <w:hyperlink r:id="rId9" w:history="1">
              <w:r w:rsidRPr="00162BB3">
                <w:rPr>
                  <w:rStyle w:val="Hyperlink"/>
                </w:rPr>
                <w:t>https://www.iris.edu/hq/programs/epo/visualizations</w:t>
              </w:r>
            </w:hyperlink>
          </w:p>
          <w:p w14:paraId="5E200E2D" w14:textId="77777777" w:rsidR="001F3462" w:rsidRDefault="001F3462" w:rsidP="001F3462"/>
          <w:p w14:paraId="585F1945" w14:textId="2A383271" w:rsidR="001F3462" w:rsidRDefault="001F3462" w:rsidP="001F3462">
            <w:r>
              <w:t xml:space="preserve">NOTE: Many additional lessons and resources are available at: </w:t>
            </w:r>
            <w:hyperlink r:id="rId10" w:history="1">
              <w:r w:rsidRPr="00162BB3">
                <w:rPr>
                  <w:rStyle w:val="Hyperlink"/>
                </w:rPr>
                <w:t>http://www.iris.edu/</w:t>
              </w:r>
            </w:hyperlink>
            <w:r>
              <w:t xml:space="preserve"> under EDUCATION.</w:t>
            </w:r>
          </w:p>
          <w:p w14:paraId="0894A2B1" w14:textId="77777777" w:rsidR="00EC5FD7" w:rsidRDefault="00EC5FD7" w:rsidP="00091CE2"/>
          <w:p w14:paraId="459409DE" w14:textId="092CD682" w:rsidR="00EC5FD7" w:rsidRDefault="00EC5FD7" w:rsidP="00091CE2"/>
        </w:tc>
      </w:tr>
    </w:tbl>
    <w:p w14:paraId="7793344D" w14:textId="2AD8E6EE" w:rsidR="004946DF" w:rsidRDefault="004946DF"/>
    <w:tbl>
      <w:tblPr>
        <w:tblStyle w:val="a3"/>
        <w:tblW w:w="14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8"/>
        <w:gridCol w:w="11748"/>
      </w:tblGrid>
      <w:tr w:rsidR="004946DF" w14:paraId="0CB155A4" w14:textId="77777777">
        <w:trPr>
          <w:trHeight w:val="4200"/>
        </w:trPr>
        <w:tc>
          <w:tcPr>
            <w:tcW w:w="3168" w:type="dxa"/>
            <w:shd w:val="clear" w:color="auto" w:fill="F2F2F2"/>
          </w:tcPr>
          <w:p w14:paraId="654A69AD" w14:textId="77777777" w:rsidR="004946DF" w:rsidRDefault="00DC5448">
            <w:pPr>
              <w:rPr>
                <w:sz w:val="22"/>
                <w:szCs w:val="22"/>
              </w:rPr>
            </w:pPr>
            <w:r>
              <w:rPr>
                <w:b/>
                <w:sz w:val="22"/>
                <w:szCs w:val="22"/>
              </w:rPr>
              <w:lastRenderedPageBreak/>
              <w:t>Sequence of Instruction</w:t>
            </w:r>
            <w:r>
              <w:rPr>
                <w:sz w:val="22"/>
                <w:szCs w:val="22"/>
              </w:rPr>
              <w:t xml:space="preserve">: Describe how the major portions of your lesson are put together – what will you do first, second, and so on. Include opportunities for student practice and assessments.  (Ex: Introduction and attention-getter </w:t>
            </w:r>
            <w:r>
              <w:rPr>
                <w:rFonts w:ascii="Cardo" w:eastAsia="Cardo" w:hAnsi="Cardo" w:cs="Cardo"/>
                <w:sz w:val="22"/>
                <w:szCs w:val="22"/>
              </w:rPr>
              <w:t>→ demonstration → practice and assessment → extension → practice and assessment → independent practice → assessment)</w:t>
            </w:r>
          </w:p>
        </w:tc>
        <w:tc>
          <w:tcPr>
            <w:tcW w:w="11748" w:type="dxa"/>
          </w:tcPr>
          <w:p w14:paraId="579A6247" w14:textId="1727C2DC" w:rsidR="00EC5FD7" w:rsidRDefault="004E3288" w:rsidP="001872E1">
            <w:pPr>
              <w:pStyle w:val="ListParagraph"/>
              <w:numPr>
                <w:ilvl w:val="0"/>
                <w:numId w:val="6"/>
              </w:numPr>
            </w:pPr>
            <w:r>
              <w:t>Begin with a discussion of energy – what does it mean to the students, what does it mean in science?</w:t>
            </w:r>
          </w:p>
          <w:p w14:paraId="1CF41AB4" w14:textId="77777777" w:rsidR="00F86F00" w:rsidRDefault="00F97948" w:rsidP="001872E1">
            <w:pPr>
              <w:pStyle w:val="ListParagraph"/>
              <w:numPr>
                <w:ilvl w:val="0"/>
                <w:numId w:val="6"/>
              </w:numPr>
            </w:pPr>
            <w:r>
              <w:t>Ask students what they know about earthquakes and where they think earthquake happen</w:t>
            </w:r>
          </w:p>
          <w:p w14:paraId="1D43D470" w14:textId="61AC47FD" w:rsidR="00F97948" w:rsidRDefault="00F97948" w:rsidP="001872E1">
            <w:pPr>
              <w:pStyle w:val="ListParagraph"/>
              <w:numPr>
                <w:ilvl w:val="0"/>
                <w:numId w:val="6"/>
              </w:numPr>
            </w:pPr>
            <w:r>
              <w:t>Share the global earthquake map or the Seismic Monitor with the students. Make connections to the maps from the first lesson in this series. Compare and contrast the maps as a group.</w:t>
            </w:r>
            <w:r w:rsidR="00E30923">
              <w:t xml:space="preserve"> (Note: the Seismic Monitor highlights more recent events, while the regular map is </w:t>
            </w:r>
            <w:r w:rsidR="00F46BF5">
              <w:t>a longer-term compilation.)</w:t>
            </w:r>
          </w:p>
          <w:p w14:paraId="5EE65F92" w14:textId="195757A8" w:rsidR="00F97948" w:rsidRDefault="00DA6E9F" w:rsidP="001872E1">
            <w:pPr>
              <w:pStyle w:val="ListParagraph"/>
              <w:numPr>
                <w:ilvl w:val="0"/>
                <w:numId w:val="6"/>
              </w:numPr>
            </w:pPr>
            <w:r>
              <w:t>Explain that the energy from earthquake travels in waves.</w:t>
            </w:r>
          </w:p>
          <w:p w14:paraId="7CFB957C" w14:textId="092F8B8F" w:rsidR="008F6390" w:rsidRDefault="008F6390" w:rsidP="001872E1">
            <w:pPr>
              <w:pStyle w:val="ListParagraph"/>
              <w:numPr>
                <w:ilvl w:val="0"/>
                <w:numId w:val="6"/>
              </w:numPr>
            </w:pPr>
            <w:r>
              <w:t>Give slinkies to groups of students and let them experiment with making “waves” with the slinkies.</w:t>
            </w:r>
          </w:p>
          <w:p w14:paraId="000990FE" w14:textId="10037E6E" w:rsidR="008F6390" w:rsidRDefault="008F6390" w:rsidP="001872E1">
            <w:pPr>
              <w:pStyle w:val="ListParagraph"/>
              <w:numPr>
                <w:ilvl w:val="0"/>
                <w:numId w:val="6"/>
              </w:numPr>
            </w:pPr>
            <w:r>
              <w:t xml:space="preserve">Have groups of students share what they thought made the best wave, and then discuss three different types of wave motion: compressional (slinky maintains its </w:t>
            </w:r>
            <w:r w:rsidR="0057753C">
              <w:t>cylindrical</w:t>
            </w:r>
            <w:r>
              <w:t xml:space="preserve"> shape but coils squeeze together and pull apart) and shear (in two directions: making an S shape along the floor, and another S shape up and down)</w:t>
            </w:r>
          </w:p>
          <w:p w14:paraId="2AE19678" w14:textId="2B5653E2" w:rsidR="008F6390" w:rsidRDefault="008F6390" w:rsidP="001872E1">
            <w:pPr>
              <w:pStyle w:val="ListParagraph"/>
              <w:numPr>
                <w:ilvl w:val="0"/>
                <w:numId w:val="6"/>
              </w:numPr>
            </w:pPr>
            <w:r>
              <w:t>Explain that this motion means the waves are traveling in 3-dimensions, and link this to the previous two lessons.</w:t>
            </w:r>
          </w:p>
          <w:p w14:paraId="0E7DC5FC" w14:textId="729DCD80" w:rsidR="008F6390" w:rsidRDefault="008F6390" w:rsidP="001872E1">
            <w:pPr>
              <w:pStyle w:val="ListParagraph"/>
              <w:numPr>
                <w:ilvl w:val="0"/>
                <w:numId w:val="6"/>
              </w:numPr>
            </w:pPr>
            <w:r>
              <w:t>Let the students experiment with making the slinkies move in these ways on their own.</w:t>
            </w:r>
          </w:p>
          <w:p w14:paraId="3BCADE7C" w14:textId="77777777" w:rsidR="008F6390" w:rsidRDefault="008F6390" w:rsidP="008F6390"/>
          <w:p w14:paraId="3EFEB56F" w14:textId="4C832722" w:rsidR="008F6390" w:rsidRDefault="008F6390" w:rsidP="008F6390">
            <w:r>
              <w:t>Extension if iPads are available:</w:t>
            </w:r>
          </w:p>
          <w:p w14:paraId="101F6E5F" w14:textId="748021CE" w:rsidR="008F6390" w:rsidRDefault="008F6390" w:rsidP="001872E1">
            <w:pPr>
              <w:pStyle w:val="ListParagraph"/>
              <w:numPr>
                <w:ilvl w:val="0"/>
                <w:numId w:val="6"/>
              </w:numPr>
            </w:pPr>
            <w:r>
              <w:t>Open the iSeismometer app (or similar) to show that this 3-dimensional motion can be graphed (Note: It is helpful to adjust the settings so that the data is scrolling as slowly as possible.)</w:t>
            </w:r>
          </w:p>
          <w:p w14:paraId="29DCDA39" w14:textId="18AC7D5F" w:rsidR="008F6390" w:rsidRDefault="008F6390" w:rsidP="001872E1">
            <w:pPr>
              <w:pStyle w:val="ListParagraph"/>
              <w:numPr>
                <w:ilvl w:val="0"/>
                <w:numId w:val="6"/>
              </w:numPr>
            </w:pPr>
            <w:r>
              <w:t>If possible, connect one iPad to a monitor so show the entire class the graph at the same time.  Slowly move the iPad up/down</w:t>
            </w:r>
            <w:r w:rsidR="00633A32">
              <w:t>, side to side, and front to back, showing how the motion is recorded on the 3 different graphs. For younger students, you can start with the option to look at just 1 graph (up/down).</w:t>
            </w:r>
          </w:p>
          <w:p w14:paraId="4CA25420" w14:textId="36EF6EAB" w:rsidR="00633A32" w:rsidRDefault="00633A32" w:rsidP="001872E1">
            <w:pPr>
              <w:pStyle w:val="ListParagraph"/>
              <w:numPr>
                <w:ilvl w:val="0"/>
                <w:numId w:val="6"/>
              </w:numPr>
            </w:pPr>
            <w:r>
              <w:t>Give iPads to groups of students and let them practice re-creating the motion on the graph.  One way to do this is to put the iPads on desks and let the students experiment with sliding the desks in different directions, or hitting the top of the desk. (Rugged iPad cases are recommended.)</w:t>
            </w:r>
          </w:p>
          <w:p w14:paraId="1A755F1B" w14:textId="77777777" w:rsidR="00633A32" w:rsidRDefault="00633A32" w:rsidP="001872E1">
            <w:pPr>
              <w:pStyle w:val="ListParagraph"/>
              <w:numPr>
                <w:ilvl w:val="0"/>
                <w:numId w:val="6"/>
              </w:numPr>
            </w:pPr>
            <w:r>
              <w:t xml:space="preserve">As part of a group discussion, talk about how the iPad motion is connected to the slinky motion. </w:t>
            </w:r>
          </w:p>
          <w:p w14:paraId="3A5901A0" w14:textId="30A36683" w:rsidR="00633A32" w:rsidRDefault="00633A32" w:rsidP="001872E1">
            <w:pPr>
              <w:pStyle w:val="ListParagraph"/>
              <w:numPr>
                <w:ilvl w:val="0"/>
                <w:numId w:val="6"/>
              </w:numPr>
            </w:pPr>
            <w:r>
              <w:t>To bring the activity back to the focus on the Earth and its interior, show the IRIS animations linked in the resources above.  For younger students, it may be easier to show the animation without sound and pause the video at certain places for your own class discussion.</w:t>
            </w:r>
          </w:p>
          <w:p w14:paraId="72C50DDA" w14:textId="65A436C7" w:rsidR="00FC0F6F" w:rsidRDefault="00FC0F6F"/>
        </w:tc>
      </w:tr>
      <w:tr w:rsidR="004946DF" w14:paraId="06F8FD6F" w14:textId="77777777">
        <w:trPr>
          <w:trHeight w:val="5460"/>
        </w:trPr>
        <w:tc>
          <w:tcPr>
            <w:tcW w:w="3168" w:type="dxa"/>
            <w:shd w:val="clear" w:color="auto" w:fill="F2F2F2"/>
          </w:tcPr>
          <w:p w14:paraId="0A2F285B" w14:textId="03A01DC9" w:rsidR="004946DF" w:rsidRDefault="00DC5448" w:rsidP="001872E1">
            <w:pPr>
              <w:rPr>
                <w:sz w:val="22"/>
                <w:szCs w:val="22"/>
              </w:rPr>
            </w:pPr>
            <w:r>
              <w:rPr>
                <w:b/>
                <w:sz w:val="22"/>
                <w:szCs w:val="22"/>
              </w:rPr>
              <w:lastRenderedPageBreak/>
              <w:t xml:space="preserve">Assessments: </w:t>
            </w:r>
            <w:r>
              <w:rPr>
                <w:sz w:val="22"/>
                <w:szCs w:val="22"/>
              </w:rPr>
              <w:t xml:space="preserve">Describe the assessments that you will use (group-work, worksheets, sample tasks, etc.) in more detail here. </w:t>
            </w:r>
          </w:p>
        </w:tc>
        <w:tc>
          <w:tcPr>
            <w:tcW w:w="11748" w:type="dxa"/>
          </w:tcPr>
          <w:p w14:paraId="051DD2D0" w14:textId="642D30AE" w:rsidR="001872E1" w:rsidRDefault="001872E1">
            <w:r>
              <w:t>Potential assessment methods:</w:t>
            </w:r>
          </w:p>
          <w:p w14:paraId="343EA996" w14:textId="0CD8F3B9" w:rsidR="004946DF" w:rsidRDefault="001872E1" w:rsidP="008F770F">
            <w:pPr>
              <w:pStyle w:val="ListParagraph"/>
              <w:numPr>
                <w:ilvl w:val="0"/>
                <w:numId w:val="7"/>
              </w:numPr>
            </w:pPr>
            <w:r>
              <w:t>Involvement in team work</w:t>
            </w:r>
          </w:p>
          <w:p w14:paraId="62A3E9E8" w14:textId="2EC4CD7B" w:rsidR="001872E1" w:rsidRDefault="001872E1" w:rsidP="008F770F">
            <w:pPr>
              <w:pStyle w:val="ListParagraph"/>
              <w:numPr>
                <w:ilvl w:val="0"/>
                <w:numId w:val="7"/>
              </w:numPr>
            </w:pPr>
            <w:r>
              <w:t>Student observations during group discussion</w:t>
            </w:r>
          </w:p>
          <w:p w14:paraId="500FE858" w14:textId="77777777" w:rsidR="001872E1" w:rsidRDefault="001872E1" w:rsidP="008F770F">
            <w:pPr>
              <w:pStyle w:val="ListParagraph"/>
              <w:numPr>
                <w:ilvl w:val="0"/>
                <w:numId w:val="7"/>
              </w:numPr>
            </w:pPr>
            <w:r>
              <w:t>Science notebook entries and observations</w:t>
            </w:r>
          </w:p>
          <w:p w14:paraId="0D5166A4" w14:textId="4D27B4DD" w:rsidR="008F770F" w:rsidRDefault="008F770F" w:rsidP="008F770F">
            <w:pPr>
              <w:pStyle w:val="ListParagraph"/>
              <w:numPr>
                <w:ilvl w:val="0"/>
                <w:numId w:val="7"/>
              </w:numPr>
            </w:pPr>
            <w:r>
              <w:t xml:space="preserve">Oral or written connections between </w:t>
            </w:r>
            <w:r w:rsidR="0057753C">
              <w:t>slinkies and iPads</w:t>
            </w:r>
          </w:p>
          <w:p w14:paraId="620E6B67" w14:textId="7FC450DA" w:rsidR="008F770F" w:rsidRDefault="008F770F" w:rsidP="008F770F">
            <w:pPr>
              <w:pStyle w:val="ListParagraph"/>
              <w:numPr>
                <w:ilvl w:val="0"/>
                <w:numId w:val="7"/>
              </w:numPr>
            </w:pPr>
            <w:r>
              <w:t xml:space="preserve">Reflections on which </w:t>
            </w:r>
            <w:r w:rsidR="0057753C">
              <w:t>motion was the hardest to re-create and why</w:t>
            </w:r>
          </w:p>
          <w:p w14:paraId="4E2BF23D" w14:textId="14077869" w:rsidR="008F770F" w:rsidRDefault="00F37B12" w:rsidP="008F770F">
            <w:pPr>
              <w:pStyle w:val="ListParagraph"/>
              <w:numPr>
                <w:ilvl w:val="0"/>
                <w:numId w:val="7"/>
              </w:numPr>
            </w:pPr>
            <w:r>
              <w:t>Reflections on connections between each lesson in this series</w:t>
            </w:r>
          </w:p>
        </w:tc>
      </w:tr>
    </w:tbl>
    <w:p w14:paraId="41631B21" w14:textId="6CEDEB43" w:rsidR="004946DF" w:rsidRDefault="00DC5448">
      <w:bookmarkStart w:id="1" w:name="z337ya" w:colFirst="0" w:colLast="0"/>
      <w:bookmarkStart w:id="2" w:name="3j2qqm3" w:colFirst="0" w:colLast="0"/>
      <w:bookmarkEnd w:id="1"/>
      <w:bookmarkEnd w:id="2"/>
      <w:r>
        <w:t>(</w:t>
      </w:r>
      <w:r w:rsidR="008F770F">
        <w:t xml:space="preserve">Lesson plan template modified from </w:t>
      </w:r>
      <w:r>
        <w:t>Echevarria, Vogt, &amp; Short, 2008</w:t>
      </w:r>
      <w:r w:rsidR="008F770F">
        <w:t xml:space="preserve"> and adapted versions by</w:t>
      </w:r>
      <w:r>
        <w:t xml:space="preserve"> John Seidlitz, Melanie Schneider, and Pearson edTPA)</w:t>
      </w:r>
    </w:p>
    <w:p w14:paraId="57C1A69D" w14:textId="6F1623B1" w:rsidR="00894878" w:rsidRDefault="00A5737F">
      <w:r>
        <w:t xml:space="preserve"> </w:t>
      </w:r>
    </w:p>
    <w:sectPr w:rsidR="00894878">
      <w:pgSz w:w="15840" w:h="12240"/>
      <w:pgMar w:top="576" w:right="576" w:bottom="576" w:left="576"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rd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50976"/>
    <w:multiLevelType w:val="hybridMultilevel"/>
    <w:tmpl w:val="375C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831603"/>
    <w:multiLevelType w:val="hybridMultilevel"/>
    <w:tmpl w:val="53901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7B2EFC"/>
    <w:multiLevelType w:val="multilevel"/>
    <w:tmpl w:val="4BCC3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5B853DF"/>
    <w:multiLevelType w:val="multilevel"/>
    <w:tmpl w:val="C5248A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C552511"/>
    <w:multiLevelType w:val="hybridMultilevel"/>
    <w:tmpl w:val="691A9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60139E"/>
    <w:multiLevelType w:val="multilevel"/>
    <w:tmpl w:val="70420E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9DD1114"/>
    <w:multiLevelType w:val="hybridMultilevel"/>
    <w:tmpl w:val="C720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5D42A9"/>
    <w:multiLevelType w:val="hybridMultilevel"/>
    <w:tmpl w:val="06789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4"/>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defaultTabStop w:val="720"/>
  <w:characterSpacingControl w:val="doNotCompress"/>
  <w:compat>
    <w:compatSetting w:name="compatibilityMode" w:uri="http://schemas.microsoft.com/office/word" w:val="14"/>
  </w:compat>
  <w:rsids>
    <w:rsidRoot w:val="004946DF"/>
    <w:rsid w:val="0001075E"/>
    <w:rsid w:val="0001410D"/>
    <w:rsid w:val="00091CE2"/>
    <w:rsid w:val="000E1D70"/>
    <w:rsid w:val="00186F8E"/>
    <w:rsid w:val="001872E1"/>
    <w:rsid w:val="001F3462"/>
    <w:rsid w:val="004166E4"/>
    <w:rsid w:val="00471248"/>
    <w:rsid w:val="004946DF"/>
    <w:rsid w:val="004E3288"/>
    <w:rsid w:val="004F3808"/>
    <w:rsid w:val="0057753C"/>
    <w:rsid w:val="005B2821"/>
    <w:rsid w:val="005D62F2"/>
    <w:rsid w:val="0062041E"/>
    <w:rsid w:val="00633A32"/>
    <w:rsid w:val="0065304A"/>
    <w:rsid w:val="007D453E"/>
    <w:rsid w:val="008318F1"/>
    <w:rsid w:val="00894878"/>
    <w:rsid w:val="008F5574"/>
    <w:rsid w:val="008F6390"/>
    <w:rsid w:val="008F770F"/>
    <w:rsid w:val="00942713"/>
    <w:rsid w:val="00997CED"/>
    <w:rsid w:val="009B456B"/>
    <w:rsid w:val="009C302C"/>
    <w:rsid w:val="00A5737F"/>
    <w:rsid w:val="00AB1CDD"/>
    <w:rsid w:val="00B050C9"/>
    <w:rsid w:val="00C90043"/>
    <w:rsid w:val="00CA3703"/>
    <w:rsid w:val="00D83C66"/>
    <w:rsid w:val="00DA6E9F"/>
    <w:rsid w:val="00DC5448"/>
    <w:rsid w:val="00DE1D30"/>
    <w:rsid w:val="00E30923"/>
    <w:rsid w:val="00E55B0A"/>
    <w:rsid w:val="00EC5FD7"/>
    <w:rsid w:val="00F37B12"/>
    <w:rsid w:val="00F46BF5"/>
    <w:rsid w:val="00F86F00"/>
    <w:rsid w:val="00F97948"/>
    <w:rsid w:val="00FC0F6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4AA1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5D62F2"/>
    <w:pPr>
      <w:ind w:left="720"/>
      <w:contextualSpacing/>
    </w:pPr>
  </w:style>
  <w:style w:type="character" w:styleId="Hyperlink">
    <w:name w:val="Hyperlink"/>
    <w:basedOn w:val="DefaultParagraphFont"/>
    <w:uiPriority w:val="99"/>
    <w:unhideWhenUsed/>
    <w:rsid w:val="00186F8E"/>
    <w:rPr>
      <w:color w:val="0563C1" w:themeColor="hyperlink"/>
      <w:u w:val="single"/>
    </w:rPr>
  </w:style>
  <w:style w:type="character" w:styleId="FollowedHyperlink">
    <w:name w:val="FollowedHyperlink"/>
    <w:basedOn w:val="DefaultParagraphFont"/>
    <w:uiPriority w:val="99"/>
    <w:semiHidden/>
    <w:unhideWhenUsed/>
    <w:rsid w:val="000141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13503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ds.iris.edu/seismon/" TargetMode="External"/><Relationship Id="rId6" Type="http://schemas.openxmlformats.org/officeDocument/2006/relationships/hyperlink" Target="https://www-tc.pbs.org/wgbh/nova/education/activities/images/2515_vesuvius_map2.gif" TargetMode="External"/><Relationship Id="rId7" Type="http://schemas.openxmlformats.org/officeDocument/2006/relationships/hyperlink" Target="https://www.iris.edu/hq/inclass/animation/1component_seismogram_building_responds_to_p_s_surface_waves" TargetMode="External"/><Relationship Id="rId8" Type="http://schemas.openxmlformats.org/officeDocument/2006/relationships/hyperlink" Target="https://www.iris.edu/hq/inclass/animation/3component_seismogram_records_seismicwave_motion" TargetMode="External"/><Relationship Id="rId9" Type="http://schemas.openxmlformats.org/officeDocument/2006/relationships/hyperlink" Target="https://www.iris.edu/hq/programs/epo/visualizations" TargetMode="External"/><Relationship Id="rId10" Type="http://schemas.openxmlformats.org/officeDocument/2006/relationships/hyperlink" Target="http://www.ir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1686</Words>
  <Characters>9612</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M. Bishop Courtier</cp:lastModifiedBy>
  <cp:revision>8</cp:revision>
  <dcterms:created xsi:type="dcterms:W3CDTF">2017-08-31T19:54:00Z</dcterms:created>
  <dcterms:modified xsi:type="dcterms:W3CDTF">2017-08-31T21:57:00Z</dcterms:modified>
</cp:coreProperties>
</file>