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3B94" w14:textId="31E59D63" w:rsidR="006404F9" w:rsidRDefault="007A0718" w:rsidP="00083F5A">
      <w:pPr>
        <w:pStyle w:val="Title"/>
        <w:jc w:val="both"/>
      </w:pPr>
      <w:r>
        <w:t xml:space="preserve">Resistivity Module </w:t>
      </w:r>
      <w:r w:rsidR="00FF6B55">
        <w:t xml:space="preserve">Unit </w:t>
      </w:r>
      <w:r w:rsidR="00540BC5">
        <w:t>2</w:t>
      </w:r>
      <w:r w:rsidR="00625D81">
        <w:t>:</w:t>
      </w:r>
      <w:r w:rsidR="00083F5A">
        <w:t xml:space="preserve"> </w:t>
      </w:r>
      <w:r w:rsidR="00FF6B55" w:rsidRPr="00FF6B55">
        <w:t>“</w:t>
      </w:r>
      <w:r w:rsidR="00540BC5">
        <w:t>Electrical Geophysical Properties of the Subsurface</w:t>
      </w:r>
      <w:r w:rsidR="00625D81">
        <w:t>”</w:t>
      </w:r>
    </w:p>
    <w:p w14:paraId="5934FC8C" w14:textId="7A7EFBDD" w:rsidR="00720DC6" w:rsidRPr="00083F5A" w:rsidRDefault="00083F5A" w:rsidP="00083F5A">
      <w:pPr>
        <w:pStyle w:val="Title"/>
        <w:jc w:val="both"/>
        <w:rPr>
          <w:b w:val="0"/>
          <w:sz w:val="18"/>
          <w:szCs w:val="18"/>
        </w:rPr>
      </w:pPr>
      <w:r>
        <w:t xml:space="preserve">Student </w:t>
      </w:r>
      <w:r w:rsidR="002E39CF">
        <w:t>exercise</w:t>
      </w:r>
    </w:p>
    <w:p w14:paraId="47ADB917" w14:textId="2A023342" w:rsidR="00AB25BC" w:rsidRPr="00720DC6" w:rsidRDefault="006404F9" w:rsidP="00A63A64">
      <w:pPr>
        <w:pStyle w:val="Authortext"/>
      </w:pPr>
      <w:r>
        <w:t>Lee Slater, Department of Earth and Environmental Sciences, Rutgers University Newark,  Newark, New Jersey</w:t>
      </w:r>
    </w:p>
    <w:p w14:paraId="60C95E60" w14:textId="4FA8DFE3" w:rsidR="00083F5A" w:rsidRPr="009B3DF1" w:rsidRDefault="001902F7" w:rsidP="00083F5A">
      <w:pPr>
        <w:pStyle w:val="Heading1"/>
      </w:pPr>
      <w:r>
        <w:rPr>
          <w:w w:val="110"/>
        </w:rPr>
        <w:t>2</w:t>
      </w:r>
      <w:r w:rsidR="00083F5A">
        <w:rPr>
          <w:w w:val="110"/>
        </w:rPr>
        <w:t>.1 Introduction</w:t>
      </w:r>
    </w:p>
    <w:p w14:paraId="6603F490" w14:textId="2A398B6D" w:rsidR="00540BC5" w:rsidRPr="003D755C" w:rsidRDefault="00E5011C" w:rsidP="00540BC5">
      <w:pPr>
        <w:pStyle w:val="NormalWeb"/>
        <w:spacing w:before="0" w:beforeAutospacing="0" w:after="0" w:afterAutospacing="0"/>
        <w:rPr>
          <w:rFonts w:eastAsiaTheme="minorEastAsia"/>
          <w:color w:val="000000" w:themeColor="text1"/>
          <w:sz w:val="22"/>
          <w:szCs w:val="22"/>
        </w:rPr>
      </w:pPr>
      <w:r>
        <w:rPr>
          <w:rFonts w:eastAsiaTheme="minorEastAsia"/>
          <w:color w:val="000000" w:themeColor="text1"/>
          <w:sz w:val="22"/>
          <w:szCs w:val="22"/>
        </w:rPr>
        <w:t>Y</w:t>
      </w:r>
      <w:r w:rsidR="003D755C">
        <w:rPr>
          <w:rFonts w:eastAsiaTheme="minorEastAsia"/>
          <w:color w:val="000000" w:themeColor="text1"/>
          <w:sz w:val="22"/>
          <w:szCs w:val="22"/>
        </w:rPr>
        <w:t xml:space="preserve">ou will use a geophysical property known as electrical resistivity to assess soil contamination in a wetland resulting from a landfill. Wetlands are unique, diverse ecosystems containing sensitive plants that are highly susceptible to soil contamination. Environmental professionals can use geophysical measurements, such as resistivity, to help understand the distribution of contaminants in the subsurface.  Rather than having to dig up the soil and sample the contaminants directly, electrical resistivity methods can often detect the contaminants due to their high ionic concentrations that result in an increased electrical conductivity. This way, the contaminants can be non-invasively mapped from the surface, which results in substantial cost reductions. Furthermore, these measurements can be relatively quickly acquired over large areas. However, in order to be able to make use of these powerful imaging techniques it is first necessary to understand how and why electrical resistivity is related to the physical and chemical properties of the subsurface. </w:t>
      </w:r>
      <w:r w:rsidR="00540BC5" w:rsidRPr="00540BC5">
        <w:rPr>
          <w:rFonts w:eastAsiaTheme="minorEastAsia"/>
          <w:color w:val="000000" w:themeColor="text1"/>
          <w:sz w:val="22"/>
          <w:szCs w:val="22"/>
        </w:rPr>
        <w:t>Th</w:t>
      </w:r>
      <w:r w:rsidR="003D755C">
        <w:rPr>
          <w:rFonts w:eastAsiaTheme="minorEastAsia"/>
          <w:color w:val="000000" w:themeColor="text1"/>
          <w:sz w:val="22"/>
          <w:szCs w:val="22"/>
        </w:rPr>
        <w:t>e</w:t>
      </w:r>
      <w:r w:rsidR="00540BC5" w:rsidRPr="00540BC5">
        <w:rPr>
          <w:rFonts w:eastAsiaTheme="minorEastAsia"/>
          <w:color w:val="000000" w:themeColor="text1"/>
          <w:sz w:val="22"/>
          <w:szCs w:val="22"/>
        </w:rPr>
        <w:t xml:space="preserve"> Excel spreadsheet </w:t>
      </w:r>
      <w:r w:rsidR="003D755C">
        <w:rPr>
          <w:rFonts w:eastAsiaTheme="minorEastAsia"/>
          <w:color w:val="000000" w:themeColor="text1"/>
          <w:sz w:val="22"/>
          <w:szCs w:val="22"/>
        </w:rPr>
        <w:t xml:space="preserve">used in this module </w:t>
      </w:r>
      <w:r w:rsidR="00540BC5" w:rsidRPr="00540BC5">
        <w:rPr>
          <w:rFonts w:eastAsiaTheme="minorEastAsia"/>
          <w:color w:val="000000" w:themeColor="text1"/>
          <w:sz w:val="22"/>
          <w:szCs w:val="22"/>
        </w:rPr>
        <w:t xml:space="preserve">explores the basic </w:t>
      </w:r>
      <w:r w:rsidR="003D755C">
        <w:rPr>
          <w:rFonts w:eastAsiaTheme="minorEastAsia"/>
          <w:color w:val="000000" w:themeColor="text1"/>
          <w:sz w:val="22"/>
          <w:szCs w:val="22"/>
        </w:rPr>
        <w:t>“</w:t>
      </w:r>
      <w:r w:rsidR="00540BC5" w:rsidRPr="00540BC5">
        <w:rPr>
          <w:rFonts w:eastAsiaTheme="minorEastAsia"/>
          <w:color w:val="000000" w:themeColor="text1"/>
          <w:sz w:val="22"/>
          <w:szCs w:val="22"/>
        </w:rPr>
        <w:t>petrophysical</w:t>
      </w:r>
      <w:r w:rsidR="003D755C">
        <w:rPr>
          <w:rFonts w:eastAsiaTheme="minorEastAsia"/>
          <w:color w:val="000000" w:themeColor="text1"/>
          <w:sz w:val="22"/>
          <w:szCs w:val="22"/>
        </w:rPr>
        <w:t>”</w:t>
      </w:r>
      <w:r w:rsidR="00540BC5" w:rsidRPr="00540BC5">
        <w:rPr>
          <w:rFonts w:eastAsiaTheme="minorEastAsia"/>
          <w:color w:val="000000" w:themeColor="text1"/>
          <w:sz w:val="22"/>
          <w:szCs w:val="22"/>
        </w:rPr>
        <w:t xml:space="preserve"> relationships that link electrical resistivity (or its inverse, electrical conductivity) to pore fluid conductivity, </w:t>
      </w:r>
      <w:r w:rsidR="00D2491B">
        <w:rPr>
          <w:rFonts w:eastAsiaTheme="minorEastAsia"/>
          <w:color w:val="000000" w:themeColor="text1"/>
          <w:sz w:val="22"/>
          <w:szCs w:val="22"/>
        </w:rPr>
        <w:t xml:space="preserve">porosity </w:t>
      </w:r>
      <w:r w:rsidR="00540BC5" w:rsidRPr="00540BC5">
        <w:rPr>
          <w:rFonts w:eastAsiaTheme="minorEastAsia"/>
          <w:color w:val="000000" w:themeColor="text1"/>
          <w:sz w:val="22"/>
          <w:szCs w:val="22"/>
        </w:rPr>
        <w:t>and surface area (or grain size).</w:t>
      </w:r>
    </w:p>
    <w:p w14:paraId="7AF7716C" w14:textId="77777777" w:rsidR="00540BC5" w:rsidRPr="00540BC5" w:rsidRDefault="00540BC5" w:rsidP="00540BC5">
      <w:pPr>
        <w:pStyle w:val="NormalWeb"/>
        <w:spacing w:before="0" w:beforeAutospacing="0" w:after="0" w:afterAutospacing="0"/>
        <w:rPr>
          <w:rFonts w:eastAsiaTheme="minorEastAsia"/>
          <w:color w:val="000000" w:themeColor="text1"/>
          <w:sz w:val="22"/>
          <w:szCs w:val="22"/>
        </w:rPr>
      </w:pPr>
    </w:p>
    <w:p w14:paraId="25D35510" w14:textId="0FF82400" w:rsidR="00540BC5" w:rsidRPr="00540BC5" w:rsidRDefault="00321425" w:rsidP="00540BC5">
      <w:pPr>
        <w:pStyle w:val="NormalWeb"/>
        <w:spacing w:before="0" w:beforeAutospacing="0" w:after="0" w:afterAutospacing="0"/>
      </w:pPr>
      <w:hyperlink r:id="rId8" w:history="1">
        <w:r w:rsidR="00433C9C" w:rsidRPr="00433C9C">
          <w:rPr>
            <w:rStyle w:val="Hyperlink"/>
            <w:rFonts w:eastAsiaTheme="minorEastAsia"/>
            <w:sz w:val="22"/>
            <w:szCs w:val="22"/>
          </w:rPr>
          <w:t>G.E. Archie</w:t>
        </w:r>
      </w:hyperlink>
      <w:r w:rsidR="00433C9C">
        <w:rPr>
          <w:rFonts w:eastAsiaTheme="minorEastAsia"/>
          <w:color w:val="000000" w:themeColor="text1"/>
          <w:sz w:val="22"/>
          <w:szCs w:val="22"/>
        </w:rPr>
        <w:t xml:space="preserve"> </w:t>
      </w:r>
      <w:r w:rsidR="00540BC5" w:rsidRPr="00540BC5">
        <w:rPr>
          <w:rFonts w:eastAsiaTheme="minorEastAsia"/>
          <w:color w:val="000000" w:themeColor="text1"/>
          <w:sz w:val="22"/>
          <w:szCs w:val="22"/>
        </w:rPr>
        <w:t>made extensive electrical resistivity measurements on rocks</w:t>
      </w:r>
      <w:r w:rsidR="00433C9C">
        <w:rPr>
          <w:rFonts w:eastAsiaTheme="minorEastAsia"/>
          <w:color w:val="000000" w:themeColor="text1"/>
          <w:sz w:val="22"/>
          <w:szCs w:val="22"/>
        </w:rPr>
        <w:t xml:space="preserve">, resulting in a set of empirical laws published in </w:t>
      </w:r>
      <w:r w:rsidR="00433C9C">
        <w:rPr>
          <w:rFonts w:eastAsiaTheme="minorEastAsia"/>
          <w:color w:val="000000" w:themeColor="text1"/>
          <w:sz w:val="22"/>
          <w:szCs w:val="22"/>
        </w:rPr>
        <w:fldChar w:fldCharType="begin" w:fldLock="1"/>
      </w:r>
      <w:r w:rsidR="00433C9C">
        <w:rPr>
          <w:rFonts w:eastAsiaTheme="minorEastAsia"/>
          <w:color w:val="000000" w:themeColor="text1"/>
          <w:sz w:val="22"/>
          <w:szCs w:val="22"/>
        </w:rPr>
        <w:instrText>ADDIN CSL_CITATION {"citationItems":[{"id":"ITEM-1","itemData":{"author":[{"dropping-particle":"","family":"Archie","given":"G.E.","non-dropping-particle":"","parse-names":false,"suffix":""}],"container-title":"Trans. Am. Inst. Min. Metall. Pet. Eng.","id":"ITEM-1","issued":{"date-parts":[["1942"]]},"page":"54-62","title":"The electrical resistivity log as an aid in determining some reservoir characteristics","type":"article-journal","volume":"146"},"uris":["http://www.mendeley.com/documents/?uuid=055e5598-e0ce-4e93-be9e-ef9bd4c4e087"]}],"mendeley":{"formattedCitation":"(Archie, 1942)","manualFormatting":"Archie (1942)","plainTextFormattedCitation":"(Archie, 1942)","previouslyFormattedCitation":"(Archie, 1942)"},"properties":{"noteIndex":0},"schema":"https://github.com/citation-style-language/schema/raw/master/csl-citation.json"}</w:instrText>
      </w:r>
      <w:r w:rsidR="00433C9C">
        <w:rPr>
          <w:rFonts w:eastAsiaTheme="minorEastAsia"/>
          <w:color w:val="000000" w:themeColor="text1"/>
          <w:sz w:val="22"/>
          <w:szCs w:val="22"/>
        </w:rPr>
        <w:fldChar w:fldCharType="separate"/>
      </w:r>
      <w:r w:rsidR="00433C9C" w:rsidRPr="00020D3F">
        <w:rPr>
          <w:rFonts w:eastAsiaTheme="minorEastAsia"/>
          <w:noProof/>
          <w:color w:val="000000" w:themeColor="text1"/>
          <w:sz w:val="22"/>
          <w:szCs w:val="22"/>
        </w:rPr>
        <w:t>Archie</w:t>
      </w:r>
      <w:r w:rsidR="00433C9C">
        <w:rPr>
          <w:rFonts w:eastAsiaTheme="minorEastAsia"/>
          <w:noProof/>
          <w:color w:val="000000" w:themeColor="text1"/>
          <w:sz w:val="22"/>
          <w:szCs w:val="22"/>
        </w:rPr>
        <w:t xml:space="preserve"> (</w:t>
      </w:r>
      <w:r w:rsidR="00433C9C" w:rsidRPr="00020D3F">
        <w:rPr>
          <w:rFonts w:eastAsiaTheme="minorEastAsia"/>
          <w:noProof/>
          <w:color w:val="000000" w:themeColor="text1"/>
          <w:sz w:val="22"/>
          <w:szCs w:val="22"/>
        </w:rPr>
        <w:t>1942)</w:t>
      </w:r>
      <w:r w:rsidR="00433C9C">
        <w:rPr>
          <w:rFonts w:eastAsiaTheme="minorEastAsia"/>
          <w:color w:val="000000" w:themeColor="text1"/>
          <w:sz w:val="22"/>
          <w:szCs w:val="22"/>
        </w:rPr>
        <w:fldChar w:fldCharType="end"/>
      </w:r>
      <w:r w:rsidR="00540BC5" w:rsidRPr="00540BC5">
        <w:rPr>
          <w:rFonts w:eastAsiaTheme="minorEastAsia"/>
          <w:color w:val="000000" w:themeColor="text1"/>
          <w:sz w:val="22"/>
          <w:szCs w:val="22"/>
        </w:rPr>
        <w:t>. He found a linear proportionality between the electrical resistivity of the fluids filling the interconnected pores of the rock and the electrical resistivity of the rock itself. He defined the proportionality constant between the electrical resistivity of a rock and the pore fluid resistivity as the electrical formation factor (</w:t>
      </w:r>
      <w:r w:rsidR="00540BC5" w:rsidRPr="00433C9C">
        <w:rPr>
          <w:rFonts w:eastAsiaTheme="minorEastAsia"/>
          <w:i/>
          <w:iCs/>
          <w:color w:val="000000" w:themeColor="text1"/>
          <w:sz w:val="22"/>
          <w:szCs w:val="22"/>
        </w:rPr>
        <w:t>F</w:t>
      </w:r>
      <w:r w:rsidR="00540BC5" w:rsidRPr="00540BC5">
        <w:rPr>
          <w:rFonts w:eastAsiaTheme="minorEastAsia"/>
          <w:color w:val="000000" w:themeColor="text1"/>
          <w:sz w:val="22"/>
          <w:szCs w:val="22"/>
        </w:rPr>
        <w:t xml:space="preserve">). The formation factor describes how much more resistive the rock is due to the presence of insulating mineral grains than the pore fluid itself. Written in terms of the conductivity (1/resistivity), </w:t>
      </w:r>
    </w:p>
    <w:p w14:paraId="37730A79" w14:textId="77777777" w:rsidR="00540BC5" w:rsidRPr="00540BC5" w:rsidRDefault="00321425" w:rsidP="00540BC5">
      <w:pPr>
        <w:pStyle w:val="NormalWeb"/>
        <w:spacing w:before="0" w:beforeAutospacing="0" w:after="0" w:afterAutospacing="0"/>
      </w:pPr>
      <m:oMath>
        <m:sSub>
          <m:sSubPr>
            <m:ctrlPr>
              <w:rPr>
                <w:rFonts w:ascii="Cambria Math" w:eastAsiaTheme="minorEastAsia" w:hAnsi="Cambria Math"/>
                <w:i/>
                <w:iCs/>
                <w:color w:val="000000" w:themeColor="text1"/>
                <w:sz w:val="22"/>
                <w:szCs w:val="22"/>
              </w:rPr>
            </m:ctrlPr>
          </m:sSubPr>
          <m:e>
            <m:r>
              <w:rPr>
                <w:rFonts w:ascii="Cambria Math" w:eastAsiaTheme="minorEastAsia" w:hAnsi="Cambria Math"/>
                <w:color w:val="000000" w:themeColor="text1"/>
                <w:sz w:val="22"/>
                <w:szCs w:val="22"/>
              </w:rPr>
              <m:t>σ</m:t>
            </m:r>
          </m:e>
          <m:sub>
            <m:r>
              <w:rPr>
                <w:rFonts w:ascii="Cambria Math" w:eastAsiaTheme="minorEastAsia" w:hAnsi="Cambria Math"/>
                <w:color w:val="000000" w:themeColor="text1"/>
                <w:sz w:val="22"/>
                <w:szCs w:val="22"/>
              </w:rPr>
              <m:t>rock</m:t>
            </m:r>
          </m:sub>
        </m:sSub>
        <m:r>
          <w:rPr>
            <w:rFonts w:ascii="Cambria Math" w:eastAsiaTheme="minorEastAsia" w:hAnsi="Cambria Math"/>
            <w:color w:val="000000" w:themeColor="text1"/>
            <w:sz w:val="22"/>
            <w:szCs w:val="22"/>
          </w:rPr>
          <m:t>=</m:t>
        </m:r>
        <m:f>
          <m:fPr>
            <m:ctrlPr>
              <w:rPr>
                <w:rFonts w:ascii="Cambria Math" w:eastAsiaTheme="minorEastAsia" w:hAnsi="Cambria Math"/>
                <w:i/>
                <w:iCs/>
                <w:color w:val="000000" w:themeColor="text1"/>
                <w:sz w:val="22"/>
                <w:szCs w:val="22"/>
              </w:rPr>
            </m:ctrlPr>
          </m:fPr>
          <m:num>
            <m:r>
              <w:rPr>
                <w:rFonts w:ascii="Cambria Math" w:eastAsiaTheme="minorEastAsia" w:hAnsi="Cambria Math"/>
                <w:color w:val="000000" w:themeColor="text1"/>
                <w:sz w:val="22"/>
                <w:szCs w:val="22"/>
              </w:rPr>
              <m:t>1</m:t>
            </m:r>
          </m:num>
          <m:den>
            <m:sSub>
              <m:sSubPr>
                <m:ctrlPr>
                  <w:rPr>
                    <w:rFonts w:ascii="Cambria Math" w:eastAsiaTheme="minorEastAsia" w:hAnsi="Cambria Math"/>
                    <w:i/>
                    <w:iCs/>
                    <w:color w:val="000000" w:themeColor="text1"/>
                    <w:sz w:val="22"/>
                    <w:szCs w:val="22"/>
                  </w:rPr>
                </m:ctrlPr>
              </m:sSubPr>
              <m:e>
                <m:r>
                  <w:rPr>
                    <w:rFonts w:ascii="Cambria Math" w:eastAsiaTheme="minorEastAsia" w:hAnsi="Cambria Math"/>
                    <w:color w:val="000000" w:themeColor="text1"/>
                    <w:sz w:val="22"/>
                    <w:szCs w:val="22"/>
                  </w:rPr>
                  <m:t>ρ</m:t>
                </m:r>
              </m:e>
              <m:sub>
                <m:r>
                  <w:rPr>
                    <w:rFonts w:ascii="Cambria Math" w:eastAsiaTheme="minorEastAsia" w:hAnsi="Cambria Math"/>
                    <w:color w:val="000000" w:themeColor="text1"/>
                    <w:sz w:val="22"/>
                    <w:szCs w:val="22"/>
                  </w:rPr>
                  <m:t>rock</m:t>
                </m:r>
              </m:sub>
            </m:sSub>
          </m:den>
        </m:f>
        <m:r>
          <w:rPr>
            <w:rFonts w:ascii="Cambria Math" w:eastAsiaTheme="minorEastAsia" w:hAnsi="Cambria Math"/>
            <w:color w:val="000000" w:themeColor="text1"/>
            <w:sz w:val="22"/>
            <w:szCs w:val="22"/>
          </w:rPr>
          <m:t>=</m:t>
        </m:r>
        <m:f>
          <m:fPr>
            <m:ctrlPr>
              <w:rPr>
                <w:rFonts w:ascii="Cambria Math" w:eastAsiaTheme="minorEastAsia" w:hAnsi="Cambria Math"/>
                <w:i/>
                <w:iCs/>
                <w:color w:val="000000" w:themeColor="text1"/>
                <w:sz w:val="22"/>
                <w:szCs w:val="22"/>
              </w:rPr>
            </m:ctrlPr>
          </m:fPr>
          <m:num>
            <m:r>
              <w:rPr>
                <w:rFonts w:ascii="Cambria Math" w:eastAsiaTheme="minorEastAsia" w:hAnsi="Cambria Math"/>
                <w:color w:val="000000" w:themeColor="text1"/>
                <w:sz w:val="22"/>
                <w:szCs w:val="22"/>
              </w:rPr>
              <m:t>1</m:t>
            </m:r>
          </m:num>
          <m:den>
            <m:r>
              <w:rPr>
                <w:rFonts w:ascii="Cambria Math" w:eastAsiaTheme="minorEastAsia" w:hAnsi="Cambria Math"/>
                <w:color w:val="000000" w:themeColor="text1"/>
                <w:sz w:val="22"/>
                <w:szCs w:val="22"/>
              </w:rPr>
              <m:t>F</m:t>
            </m:r>
          </m:den>
        </m:f>
        <m:sSub>
          <m:sSubPr>
            <m:ctrlPr>
              <w:rPr>
                <w:rFonts w:ascii="Cambria Math" w:eastAsiaTheme="minorEastAsia" w:hAnsi="Cambria Math"/>
                <w:i/>
                <w:iCs/>
                <w:color w:val="000000" w:themeColor="text1"/>
                <w:sz w:val="22"/>
                <w:szCs w:val="22"/>
              </w:rPr>
            </m:ctrlPr>
          </m:sSubPr>
          <m:e>
            <m:r>
              <w:rPr>
                <w:rFonts w:ascii="Cambria Math" w:eastAsiaTheme="minorEastAsia" w:hAnsi="Cambria Math"/>
                <w:color w:val="000000" w:themeColor="text1"/>
                <w:sz w:val="22"/>
                <w:szCs w:val="22"/>
              </w:rPr>
              <m:t>σ</m:t>
            </m:r>
          </m:e>
          <m:sub>
            <m:r>
              <w:rPr>
                <w:rFonts w:ascii="Cambria Math" w:eastAsiaTheme="minorEastAsia" w:hAnsi="Cambria Math"/>
                <w:color w:val="000000" w:themeColor="text1"/>
                <w:sz w:val="22"/>
                <w:szCs w:val="22"/>
              </w:rPr>
              <m:t>w</m:t>
            </m:r>
          </m:sub>
        </m:sSub>
      </m:oMath>
      <w:r w:rsidR="00540BC5" w:rsidRPr="00540BC5">
        <w:rPr>
          <w:rFonts w:eastAsiaTheme="minorEastAsia"/>
          <w:color w:val="000000" w:themeColor="text1"/>
          <w:sz w:val="22"/>
          <w:szCs w:val="22"/>
        </w:rPr>
        <w:t>.</w:t>
      </w:r>
      <w:r w:rsidR="00540BC5" w:rsidRPr="00540BC5">
        <w:rPr>
          <w:rFonts w:eastAsiaTheme="minorEastAsia"/>
          <w:color w:val="000000" w:themeColor="text1"/>
          <w:sz w:val="22"/>
          <w:szCs w:val="22"/>
        </w:rPr>
        <w:tab/>
        <w:t>(1)</w:t>
      </w:r>
    </w:p>
    <w:p w14:paraId="53659E9F" w14:textId="77777777" w:rsidR="00540BC5" w:rsidRPr="00540BC5" w:rsidRDefault="00540BC5" w:rsidP="00540BC5">
      <w:pPr>
        <w:pStyle w:val="NormalWeb"/>
        <w:spacing w:before="0" w:beforeAutospacing="0" w:after="0" w:afterAutospacing="0"/>
      </w:pPr>
      <w:r w:rsidRPr="00540BC5">
        <w:rPr>
          <w:rFonts w:eastAsiaTheme="minorEastAsia"/>
          <w:color w:val="000000" w:themeColor="text1"/>
          <w:sz w:val="22"/>
          <w:szCs w:val="22"/>
        </w:rPr>
        <w:t>Archie assumed that the rock matrix was a pure insulator so that electrical current only flows through the fluids filling the interconnected pores of the rock. In fact, electrical conduction also occurs in the electrical double layer (EDL) that forms at the interface of the rock minerals and the water in the pores. A simple way to modify Archie's Law to account for this extra conduction pathway is to add a constant surface conductivity (</w:t>
      </w:r>
      <w:r w:rsidRPr="00540BC5">
        <w:rPr>
          <w:rFonts w:ascii="Symbol" w:eastAsiaTheme="minorEastAsia" w:hAnsi="Symbol"/>
          <w:i/>
          <w:iCs/>
          <w:color w:val="000000" w:themeColor="text1"/>
          <w:sz w:val="22"/>
          <w:szCs w:val="22"/>
        </w:rPr>
        <w:t>s</w:t>
      </w:r>
      <w:r w:rsidRPr="00540BC5">
        <w:rPr>
          <w:rFonts w:eastAsiaTheme="minorEastAsia"/>
          <w:i/>
          <w:iCs/>
          <w:color w:val="000000" w:themeColor="text1"/>
          <w:position w:val="-6"/>
          <w:sz w:val="22"/>
          <w:szCs w:val="22"/>
          <w:vertAlign w:val="subscript"/>
        </w:rPr>
        <w:t>surf</w:t>
      </w:r>
      <w:r w:rsidRPr="00540BC5">
        <w:rPr>
          <w:rFonts w:eastAsiaTheme="minorEastAsia"/>
          <w:color w:val="000000" w:themeColor="text1"/>
          <w:sz w:val="22"/>
          <w:szCs w:val="22"/>
        </w:rPr>
        <w:t>) term to Equation 1,</w:t>
      </w:r>
    </w:p>
    <w:p w14:paraId="7C830B5B" w14:textId="77777777" w:rsidR="00540BC5" w:rsidRPr="00540BC5" w:rsidRDefault="00321425" w:rsidP="00540BC5">
      <w:pPr>
        <w:pStyle w:val="NormalWeb"/>
        <w:spacing w:before="0" w:beforeAutospacing="0" w:after="0" w:afterAutospacing="0"/>
      </w:pPr>
      <m:oMath>
        <m:sSub>
          <m:sSubPr>
            <m:ctrlPr>
              <w:rPr>
                <w:rFonts w:ascii="Cambria Math" w:eastAsiaTheme="minorEastAsia" w:hAnsi="Cambria Math"/>
                <w:i/>
                <w:iCs/>
                <w:color w:val="000000" w:themeColor="text1"/>
                <w:sz w:val="22"/>
                <w:szCs w:val="22"/>
              </w:rPr>
            </m:ctrlPr>
          </m:sSubPr>
          <m:e>
            <m:r>
              <w:rPr>
                <w:rFonts w:ascii="Cambria Math" w:eastAsiaTheme="minorEastAsia" w:hAnsi="Cambria Math"/>
                <w:color w:val="000000" w:themeColor="text1"/>
                <w:sz w:val="22"/>
                <w:szCs w:val="22"/>
              </w:rPr>
              <m:t>σ</m:t>
            </m:r>
          </m:e>
          <m:sub>
            <m:r>
              <w:rPr>
                <w:rFonts w:ascii="Cambria Math" w:eastAsiaTheme="minorEastAsia" w:hAnsi="Cambria Math"/>
                <w:color w:val="000000" w:themeColor="text1"/>
                <w:sz w:val="22"/>
                <w:szCs w:val="22"/>
              </w:rPr>
              <m:t>rock</m:t>
            </m:r>
          </m:sub>
        </m:sSub>
        <m:r>
          <w:rPr>
            <w:rFonts w:ascii="Cambria Math" w:eastAsiaTheme="minorEastAsia" w:hAnsi="Cambria Math"/>
            <w:color w:val="000000" w:themeColor="text1"/>
            <w:sz w:val="22"/>
            <w:szCs w:val="22"/>
          </w:rPr>
          <m:t>=</m:t>
        </m:r>
        <m:f>
          <m:fPr>
            <m:ctrlPr>
              <w:rPr>
                <w:rFonts w:ascii="Cambria Math" w:eastAsiaTheme="minorEastAsia" w:hAnsi="Cambria Math"/>
                <w:i/>
                <w:iCs/>
                <w:color w:val="000000" w:themeColor="text1"/>
                <w:sz w:val="22"/>
                <w:szCs w:val="22"/>
              </w:rPr>
            </m:ctrlPr>
          </m:fPr>
          <m:num>
            <m:r>
              <w:rPr>
                <w:rFonts w:ascii="Cambria Math" w:eastAsiaTheme="minorEastAsia" w:hAnsi="Cambria Math"/>
                <w:color w:val="000000" w:themeColor="text1"/>
                <w:sz w:val="22"/>
                <w:szCs w:val="22"/>
              </w:rPr>
              <m:t>1</m:t>
            </m:r>
          </m:num>
          <m:den>
            <m:sSub>
              <m:sSubPr>
                <m:ctrlPr>
                  <w:rPr>
                    <w:rFonts w:ascii="Cambria Math" w:eastAsiaTheme="minorEastAsia" w:hAnsi="Cambria Math"/>
                    <w:i/>
                    <w:iCs/>
                    <w:color w:val="000000" w:themeColor="text1"/>
                    <w:sz w:val="22"/>
                    <w:szCs w:val="22"/>
                  </w:rPr>
                </m:ctrlPr>
              </m:sSubPr>
              <m:e>
                <m:r>
                  <w:rPr>
                    <w:rFonts w:ascii="Cambria Math" w:eastAsiaTheme="minorEastAsia" w:hAnsi="Cambria Math"/>
                    <w:color w:val="000000" w:themeColor="text1"/>
                    <w:sz w:val="22"/>
                    <w:szCs w:val="22"/>
                  </w:rPr>
                  <m:t>ρ</m:t>
                </m:r>
              </m:e>
              <m:sub>
                <m:r>
                  <w:rPr>
                    <w:rFonts w:ascii="Cambria Math" w:eastAsiaTheme="minorEastAsia" w:hAnsi="Cambria Math"/>
                    <w:color w:val="000000" w:themeColor="text1"/>
                    <w:sz w:val="22"/>
                    <w:szCs w:val="22"/>
                  </w:rPr>
                  <m:t>rock</m:t>
                </m:r>
              </m:sub>
            </m:sSub>
          </m:den>
        </m:f>
        <m:r>
          <w:rPr>
            <w:rFonts w:ascii="Cambria Math" w:eastAsiaTheme="minorEastAsia" w:hAnsi="Cambria Math"/>
            <w:color w:val="000000" w:themeColor="text1"/>
            <w:sz w:val="22"/>
            <w:szCs w:val="22"/>
          </w:rPr>
          <m:t>=</m:t>
        </m:r>
        <m:f>
          <m:fPr>
            <m:ctrlPr>
              <w:rPr>
                <w:rFonts w:ascii="Cambria Math" w:eastAsiaTheme="minorEastAsia" w:hAnsi="Cambria Math"/>
                <w:i/>
                <w:iCs/>
                <w:color w:val="000000" w:themeColor="text1"/>
                <w:sz w:val="22"/>
                <w:szCs w:val="22"/>
              </w:rPr>
            </m:ctrlPr>
          </m:fPr>
          <m:num>
            <m:r>
              <w:rPr>
                <w:rFonts w:ascii="Cambria Math" w:eastAsiaTheme="minorEastAsia" w:hAnsi="Cambria Math"/>
                <w:color w:val="000000" w:themeColor="text1"/>
                <w:sz w:val="22"/>
                <w:szCs w:val="22"/>
              </w:rPr>
              <m:t>1</m:t>
            </m:r>
          </m:num>
          <m:den>
            <m:r>
              <w:rPr>
                <w:rFonts w:ascii="Cambria Math" w:eastAsiaTheme="minorEastAsia" w:hAnsi="Cambria Math"/>
                <w:color w:val="000000" w:themeColor="text1"/>
                <w:sz w:val="22"/>
                <w:szCs w:val="22"/>
              </w:rPr>
              <m:t>F</m:t>
            </m:r>
          </m:den>
        </m:f>
        <m:sSub>
          <m:sSubPr>
            <m:ctrlPr>
              <w:rPr>
                <w:rFonts w:ascii="Cambria Math" w:eastAsiaTheme="minorEastAsia" w:hAnsi="Cambria Math"/>
                <w:i/>
                <w:iCs/>
                <w:color w:val="000000" w:themeColor="text1"/>
                <w:sz w:val="22"/>
                <w:szCs w:val="22"/>
              </w:rPr>
            </m:ctrlPr>
          </m:sSubPr>
          <m:e>
            <m:r>
              <w:rPr>
                <w:rFonts w:ascii="Cambria Math" w:eastAsiaTheme="minorEastAsia" w:hAnsi="Cambria Math"/>
                <w:color w:val="000000" w:themeColor="text1"/>
                <w:sz w:val="22"/>
                <w:szCs w:val="22"/>
              </w:rPr>
              <m:t>σ</m:t>
            </m:r>
          </m:e>
          <m:sub>
            <m:r>
              <w:rPr>
                <w:rFonts w:ascii="Cambria Math" w:eastAsiaTheme="minorEastAsia" w:hAnsi="Cambria Math"/>
                <w:color w:val="000000" w:themeColor="text1"/>
                <w:sz w:val="22"/>
                <w:szCs w:val="22"/>
              </w:rPr>
              <m:t>w</m:t>
            </m:r>
          </m:sub>
        </m:sSub>
        <m:r>
          <w:rPr>
            <w:rFonts w:ascii="Cambria Math" w:eastAsiaTheme="minorEastAsia" w:hAnsi="Cambria Math"/>
            <w:color w:val="000000" w:themeColor="text1"/>
            <w:sz w:val="22"/>
            <w:szCs w:val="22"/>
          </w:rPr>
          <m:t>+</m:t>
        </m:r>
        <m:sSub>
          <m:sSubPr>
            <m:ctrlPr>
              <w:rPr>
                <w:rFonts w:ascii="Cambria Math" w:eastAsiaTheme="minorEastAsia" w:hAnsi="Cambria Math"/>
                <w:i/>
                <w:iCs/>
                <w:color w:val="000000" w:themeColor="text1"/>
                <w:sz w:val="22"/>
                <w:szCs w:val="22"/>
              </w:rPr>
            </m:ctrlPr>
          </m:sSubPr>
          <m:e>
            <m:r>
              <w:rPr>
                <w:rFonts w:ascii="Cambria Math" w:eastAsiaTheme="minorEastAsia" w:hAnsi="Cambria Math"/>
                <w:color w:val="000000" w:themeColor="text1"/>
                <w:sz w:val="22"/>
                <w:szCs w:val="22"/>
              </w:rPr>
              <m:t>σ</m:t>
            </m:r>
          </m:e>
          <m:sub>
            <m:r>
              <w:rPr>
                <w:rFonts w:ascii="Cambria Math" w:eastAsiaTheme="minorEastAsia" w:hAnsi="Cambria Math"/>
                <w:color w:val="000000" w:themeColor="text1"/>
                <w:sz w:val="22"/>
                <w:szCs w:val="22"/>
              </w:rPr>
              <m:t>surf</m:t>
            </m:r>
          </m:sub>
        </m:sSub>
      </m:oMath>
      <w:r w:rsidR="00540BC5" w:rsidRPr="00540BC5">
        <w:rPr>
          <w:rFonts w:eastAsiaTheme="minorEastAsia"/>
          <w:color w:val="000000" w:themeColor="text1"/>
          <w:sz w:val="22"/>
          <w:szCs w:val="22"/>
        </w:rPr>
        <w:t>.</w:t>
      </w:r>
      <w:r w:rsidR="00540BC5" w:rsidRPr="00540BC5">
        <w:rPr>
          <w:rFonts w:eastAsiaTheme="minorEastAsia"/>
          <w:color w:val="000000" w:themeColor="text1"/>
          <w:sz w:val="22"/>
          <w:szCs w:val="22"/>
        </w:rPr>
        <w:tab/>
        <w:t>(2)</w:t>
      </w:r>
    </w:p>
    <w:p w14:paraId="4A579AD8" w14:textId="77777777" w:rsidR="00540BC5" w:rsidRPr="00540BC5" w:rsidRDefault="00540BC5" w:rsidP="00540BC5">
      <w:pPr>
        <w:pStyle w:val="NormalWeb"/>
        <w:spacing w:before="0" w:beforeAutospacing="0" w:after="0" w:afterAutospacing="0"/>
      </w:pPr>
      <w:r w:rsidRPr="00540BC5">
        <w:rPr>
          <w:rFonts w:eastAsiaTheme="minorEastAsia"/>
          <w:color w:val="000000" w:themeColor="text1"/>
          <w:sz w:val="22"/>
          <w:szCs w:val="22"/>
        </w:rPr>
        <w:t xml:space="preserve"> </w:t>
      </w:r>
    </w:p>
    <w:p w14:paraId="1DDC22D1" w14:textId="57E8D0AA" w:rsidR="00540BC5" w:rsidRPr="00540BC5" w:rsidRDefault="00540BC5" w:rsidP="00540BC5">
      <w:pPr>
        <w:pStyle w:val="NormalWeb"/>
        <w:spacing w:before="0" w:beforeAutospacing="0" w:after="0" w:afterAutospacing="0"/>
      </w:pPr>
      <w:r w:rsidRPr="00540BC5">
        <w:rPr>
          <w:rFonts w:eastAsiaTheme="minorEastAsia"/>
          <w:color w:val="000000" w:themeColor="text1"/>
          <w:sz w:val="22"/>
          <w:szCs w:val="22"/>
        </w:rPr>
        <w:t>This</w:t>
      </w:r>
      <w:r w:rsidR="00D2491B">
        <w:rPr>
          <w:rFonts w:eastAsiaTheme="minorEastAsia"/>
          <w:color w:val="000000" w:themeColor="text1"/>
          <w:sz w:val="22"/>
          <w:szCs w:val="22"/>
        </w:rPr>
        <w:t xml:space="preserve"> linear (</w:t>
      </w:r>
      <w:r w:rsidR="00433C9C">
        <w:rPr>
          <w:rFonts w:eastAsiaTheme="minorEastAsia"/>
          <w:color w:val="000000" w:themeColor="text1"/>
          <w:sz w:val="22"/>
          <w:szCs w:val="22"/>
        </w:rPr>
        <w:t>i.e. assuming</w:t>
      </w:r>
      <w:r w:rsidR="00D2491B">
        <w:rPr>
          <w:rFonts w:eastAsiaTheme="minorEastAsia"/>
          <w:color w:val="000000" w:themeColor="text1"/>
          <w:sz w:val="22"/>
          <w:szCs w:val="22"/>
        </w:rPr>
        <w:t xml:space="preserve"> the form</w:t>
      </w:r>
      <w:r w:rsidR="000A1373">
        <w:rPr>
          <w:rFonts w:eastAsiaTheme="minorEastAsia"/>
          <w:color w:val="000000" w:themeColor="text1"/>
          <w:sz w:val="22"/>
          <w:szCs w:val="22"/>
        </w:rPr>
        <w:t xml:space="preserve"> </w:t>
      </w:r>
      <m:oMath>
        <m:r>
          <w:rPr>
            <w:rFonts w:ascii="Cambria Math" w:eastAsiaTheme="minorEastAsia" w:hAnsi="Cambria Math"/>
            <w:color w:val="000000" w:themeColor="text1"/>
            <w:sz w:val="22"/>
            <w:szCs w:val="22"/>
          </w:rPr>
          <m:t>y=mx+b</m:t>
        </m:r>
      </m:oMath>
      <w:r w:rsidR="00D2491B">
        <w:rPr>
          <w:rFonts w:eastAsiaTheme="minorEastAsia"/>
          <w:color w:val="000000" w:themeColor="text1"/>
          <w:sz w:val="22"/>
          <w:szCs w:val="22"/>
        </w:rPr>
        <w:t>)</w:t>
      </w:r>
      <w:r w:rsidRPr="00540BC5">
        <w:rPr>
          <w:rFonts w:eastAsiaTheme="minorEastAsia"/>
          <w:color w:val="000000" w:themeColor="text1"/>
          <w:sz w:val="22"/>
          <w:szCs w:val="22"/>
        </w:rPr>
        <w:t xml:space="preserve"> equation is based on some key assumptions. These include: (1) The surface conduction occurs parallel to the conduction through the fluids occupying the interconnect</w:t>
      </w:r>
      <w:r w:rsidR="00D2491B">
        <w:rPr>
          <w:rFonts w:eastAsiaTheme="minorEastAsia"/>
          <w:color w:val="000000" w:themeColor="text1"/>
          <w:sz w:val="22"/>
          <w:szCs w:val="22"/>
        </w:rPr>
        <w:t>ed</w:t>
      </w:r>
      <w:r w:rsidRPr="00540BC5">
        <w:rPr>
          <w:rFonts w:eastAsiaTheme="minorEastAsia"/>
          <w:color w:val="000000" w:themeColor="text1"/>
          <w:sz w:val="22"/>
          <w:szCs w:val="22"/>
        </w:rPr>
        <w:t xml:space="preserve"> pores; (2) The surface conduction does not vary with the electrical conductivity of the pore-filling fluids (</w:t>
      </w:r>
      <w:r w:rsidRPr="00540BC5">
        <w:rPr>
          <w:rFonts w:ascii="Symbol" w:eastAsiaTheme="minorEastAsia" w:hAnsi="Symbol"/>
          <w:i/>
          <w:iCs/>
          <w:color w:val="000000" w:themeColor="text1"/>
          <w:sz w:val="22"/>
          <w:szCs w:val="22"/>
        </w:rPr>
        <w:t>s</w:t>
      </w:r>
      <w:r w:rsidRPr="00540BC5">
        <w:rPr>
          <w:rFonts w:eastAsiaTheme="minorEastAsia"/>
          <w:i/>
          <w:iCs/>
          <w:color w:val="000000" w:themeColor="text1"/>
          <w:position w:val="-6"/>
          <w:sz w:val="22"/>
          <w:szCs w:val="22"/>
          <w:vertAlign w:val="subscript"/>
        </w:rPr>
        <w:t>w</w:t>
      </w:r>
      <w:r w:rsidRPr="00540BC5">
        <w:rPr>
          <w:rFonts w:eastAsiaTheme="minorEastAsia"/>
          <w:color w:val="000000" w:themeColor="text1"/>
          <w:sz w:val="22"/>
          <w:szCs w:val="22"/>
        </w:rPr>
        <w:t>). Equation 2 has been extensively applied to soils in addition to rocks.</w:t>
      </w:r>
    </w:p>
    <w:p w14:paraId="2130774E" w14:textId="77777777" w:rsidR="00540BC5" w:rsidRDefault="00540BC5" w:rsidP="00540BC5">
      <w:pPr>
        <w:pStyle w:val="NormalWeb"/>
        <w:spacing w:before="0" w:beforeAutospacing="0" w:after="0" w:afterAutospacing="0"/>
      </w:pPr>
      <w:r w:rsidRPr="00540BC5">
        <w:rPr>
          <w:rFonts w:eastAsiaTheme="minorEastAsia"/>
          <w:color w:val="000000" w:themeColor="text1"/>
          <w:sz w:val="22"/>
          <w:szCs w:val="22"/>
        </w:rPr>
        <w:t>In the first part of this exercise we will explore how Equation 2 describes measurements of soil conductivity (</w:t>
      </w:r>
      <w:r w:rsidRPr="00540BC5">
        <w:rPr>
          <w:rFonts w:ascii="Symbol" w:eastAsiaTheme="minorEastAsia" w:hAnsi="Symbol"/>
          <w:color w:val="000000" w:themeColor="text1"/>
          <w:sz w:val="22"/>
          <w:szCs w:val="22"/>
        </w:rPr>
        <w:t>s</w:t>
      </w:r>
      <w:r w:rsidRPr="00540BC5">
        <w:rPr>
          <w:rFonts w:eastAsiaTheme="minorEastAsia"/>
          <w:color w:val="000000" w:themeColor="text1"/>
          <w:position w:val="-6"/>
          <w:sz w:val="22"/>
          <w:szCs w:val="22"/>
          <w:vertAlign w:val="subscript"/>
        </w:rPr>
        <w:t>soil</w:t>
      </w:r>
      <w:r w:rsidRPr="00540BC5">
        <w:rPr>
          <w:rFonts w:eastAsiaTheme="minorEastAsia"/>
          <w:color w:val="000000" w:themeColor="text1"/>
          <w:sz w:val="22"/>
          <w:szCs w:val="22"/>
        </w:rPr>
        <w:t>) as a function of the pore fluid conductivity (</w:t>
      </w:r>
      <w:r w:rsidRPr="00540BC5">
        <w:rPr>
          <w:rFonts w:ascii="Symbol" w:eastAsiaTheme="minorEastAsia" w:hAnsi="Symbol"/>
          <w:i/>
          <w:iCs/>
          <w:color w:val="000000" w:themeColor="text1"/>
          <w:sz w:val="22"/>
          <w:szCs w:val="22"/>
        </w:rPr>
        <w:t>s</w:t>
      </w:r>
      <w:r w:rsidRPr="00540BC5">
        <w:rPr>
          <w:rFonts w:eastAsiaTheme="minorEastAsia"/>
          <w:i/>
          <w:iCs/>
          <w:color w:val="000000" w:themeColor="text1"/>
          <w:position w:val="-6"/>
          <w:sz w:val="22"/>
          <w:szCs w:val="22"/>
          <w:vertAlign w:val="subscript"/>
        </w:rPr>
        <w:t>w</w:t>
      </w:r>
      <w:r w:rsidRPr="00540BC5">
        <w:rPr>
          <w:rFonts w:eastAsiaTheme="minorEastAsia"/>
          <w:color w:val="000000" w:themeColor="text1"/>
          <w:sz w:val="22"/>
          <w:szCs w:val="22"/>
        </w:rPr>
        <w:t xml:space="preserve">) of different rocks and soils. By fitting equation (2) to the experimental datasets, we will determine values of </w:t>
      </w:r>
      <w:r w:rsidRPr="00540BC5">
        <w:rPr>
          <w:rFonts w:eastAsiaTheme="minorEastAsia"/>
          <w:i/>
          <w:iCs/>
          <w:color w:val="000000" w:themeColor="text1"/>
          <w:sz w:val="22"/>
          <w:szCs w:val="22"/>
        </w:rPr>
        <w:t>F</w:t>
      </w:r>
      <w:r w:rsidRPr="00540BC5">
        <w:rPr>
          <w:rFonts w:eastAsiaTheme="minorEastAsia"/>
          <w:color w:val="000000" w:themeColor="text1"/>
          <w:sz w:val="22"/>
          <w:szCs w:val="22"/>
        </w:rPr>
        <w:t xml:space="preserve"> and </w:t>
      </w:r>
      <w:r w:rsidRPr="00540BC5">
        <w:rPr>
          <w:rFonts w:ascii="Symbol" w:eastAsiaTheme="minorEastAsia" w:hAnsi="Symbol"/>
          <w:i/>
          <w:iCs/>
          <w:color w:val="000000" w:themeColor="text1"/>
          <w:sz w:val="22"/>
          <w:szCs w:val="22"/>
        </w:rPr>
        <w:t>s</w:t>
      </w:r>
      <w:r w:rsidRPr="00540BC5">
        <w:rPr>
          <w:rFonts w:eastAsiaTheme="minorEastAsia"/>
          <w:i/>
          <w:iCs/>
          <w:color w:val="000000" w:themeColor="text1"/>
          <w:position w:val="-6"/>
          <w:sz w:val="22"/>
          <w:szCs w:val="22"/>
          <w:vertAlign w:val="subscript"/>
        </w:rPr>
        <w:t>surf</w:t>
      </w:r>
      <w:r w:rsidRPr="00540BC5">
        <w:rPr>
          <w:rFonts w:eastAsiaTheme="minorEastAsia"/>
          <w:i/>
          <w:iCs/>
          <w:color w:val="000000" w:themeColor="text1"/>
          <w:sz w:val="22"/>
          <w:szCs w:val="22"/>
        </w:rPr>
        <w:t xml:space="preserve"> </w:t>
      </w:r>
      <w:r w:rsidRPr="00540BC5">
        <w:rPr>
          <w:rFonts w:eastAsiaTheme="minorEastAsia"/>
          <w:color w:val="000000" w:themeColor="text1"/>
          <w:sz w:val="22"/>
          <w:szCs w:val="22"/>
        </w:rPr>
        <w:t xml:space="preserve">for two rocks and two soils. We will see how both </w:t>
      </w:r>
      <w:r w:rsidRPr="00540BC5">
        <w:rPr>
          <w:rFonts w:eastAsiaTheme="minorEastAsia"/>
          <w:i/>
          <w:iCs/>
          <w:color w:val="000000" w:themeColor="text1"/>
          <w:sz w:val="22"/>
          <w:szCs w:val="22"/>
        </w:rPr>
        <w:t>F</w:t>
      </w:r>
      <w:r w:rsidRPr="00540BC5">
        <w:rPr>
          <w:rFonts w:eastAsiaTheme="minorEastAsia"/>
          <w:color w:val="000000" w:themeColor="text1"/>
          <w:sz w:val="22"/>
          <w:szCs w:val="22"/>
        </w:rPr>
        <w:t xml:space="preserve"> and </w:t>
      </w:r>
      <w:r w:rsidRPr="00540BC5">
        <w:rPr>
          <w:rFonts w:ascii="Symbol" w:eastAsiaTheme="minorEastAsia" w:hAnsi="Symbol"/>
          <w:i/>
          <w:iCs/>
          <w:color w:val="000000" w:themeColor="text1"/>
          <w:sz w:val="22"/>
          <w:szCs w:val="22"/>
        </w:rPr>
        <w:t>s</w:t>
      </w:r>
      <w:r w:rsidRPr="00540BC5">
        <w:rPr>
          <w:rFonts w:eastAsiaTheme="minorEastAsia"/>
          <w:i/>
          <w:iCs/>
          <w:color w:val="000000" w:themeColor="text1"/>
          <w:position w:val="-6"/>
          <w:sz w:val="22"/>
          <w:szCs w:val="22"/>
          <w:vertAlign w:val="subscript"/>
        </w:rPr>
        <w:t>surf</w:t>
      </w:r>
      <w:r w:rsidRPr="00540BC5">
        <w:rPr>
          <w:rFonts w:eastAsiaTheme="minorEastAsia"/>
          <w:i/>
          <w:iCs/>
          <w:color w:val="000000" w:themeColor="text1"/>
          <w:sz w:val="22"/>
          <w:szCs w:val="22"/>
        </w:rPr>
        <w:t xml:space="preserve"> </w:t>
      </w:r>
      <w:r w:rsidRPr="00540BC5">
        <w:rPr>
          <w:rFonts w:eastAsiaTheme="minorEastAsia"/>
          <w:color w:val="000000" w:themeColor="text1"/>
          <w:sz w:val="22"/>
          <w:szCs w:val="22"/>
        </w:rPr>
        <w:t>differ for unconsolidated sediments when compared to consolidate rocks</w:t>
      </w:r>
      <w:r>
        <w:rPr>
          <w:rFonts w:asciiTheme="minorHAnsi" w:eastAsiaTheme="minorEastAsia" w:hAnsi="Calibri" w:cstheme="minorBidi"/>
          <w:color w:val="000000" w:themeColor="text1"/>
          <w:sz w:val="22"/>
          <w:szCs w:val="22"/>
        </w:rPr>
        <w:t>.</w:t>
      </w:r>
    </w:p>
    <w:p w14:paraId="1F183A19" w14:textId="77777777" w:rsidR="00540BC5" w:rsidRDefault="00540BC5" w:rsidP="00540BC5">
      <w:pPr>
        <w:pStyle w:val="NormalWeb"/>
        <w:spacing w:before="0" w:beforeAutospacing="0" w:after="0" w:afterAutospacing="0"/>
        <w:rPr>
          <w:rFonts w:asciiTheme="minorHAnsi" w:eastAsiaTheme="minorEastAsia" w:hAnsi="Calibri" w:cstheme="minorBidi"/>
          <w:b/>
          <w:bCs/>
          <w:color w:val="000000" w:themeColor="text1"/>
          <w:sz w:val="22"/>
          <w:szCs w:val="22"/>
        </w:rPr>
      </w:pPr>
    </w:p>
    <w:p w14:paraId="35D572DE" w14:textId="4C11467B" w:rsidR="00540BC5" w:rsidRPr="001902F7" w:rsidRDefault="00540BC5" w:rsidP="00540BC5">
      <w:pPr>
        <w:pStyle w:val="NormalWeb"/>
        <w:spacing w:before="0" w:beforeAutospacing="0" w:after="0" w:afterAutospacing="0"/>
        <w:rPr>
          <w:rFonts w:ascii="Arial" w:hAnsi="Arial" w:cs="Arial"/>
        </w:rPr>
      </w:pPr>
      <w:r w:rsidRPr="00540BC5">
        <w:rPr>
          <w:rFonts w:eastAsiaTheme="minorEastAsia"/>
          <w:color w:val="000000" w:themeColor="text1"/>
          <w:sz w:val="22"/>
          <w:szCs w:val="22"/>
        </w:rPr>
        <w:lastRenderedPageBreak/>
        <w:t>Next we will explore the relationship between the electrical formation factor and the physical proper</w:t>
      </w:r>
      <w:r>
        <w:rPr>
          <w:rFonts w:eastAsiaTheme="minorEastAsia"/>
          <w:color w:val="000000" w:themeColor="text1"/>
          <w:sz w:val="22"/>
          <w:szCs w:val="22"/>
        </w:rPr>
        <w:t>t</w:t>
      </w:r>
      <w:r w:rsidRPr="00540BC5">
        <w:rPr>
          <w:rFonts w:eastAsiaTheme="minorEastAsia"/>
          <w:color w:val="000000" w:themeColor="text1"/>
          <w:sz w:val="22"/>
          <w:szCs w:val="22"/>
        </w:rPr>
        <w:t>ies of rocks and soils. Archie used an extensive database of measurements from petroleum-containing rocks to show that the formation factor (</w:t>
      </w:r>
      <w:r w:rsidRPr="00540BC5">
        <w:rPr>
          <w:rFonts w:eastAsiaTheme="minorEastAsia"/>
          <w:i/>
          <w:iCs/>
          <w:color w:val="000000" w:themeColor="text1"/>
          <w:sz w:val="22"/>
          <w:szCs w:val="22"/>
        </w:rPr>
        <w:t>F</w:t>
      </w:r>
      <w:r w:rsidRPr="00540BC5">
        <w:rPr>
          <w:rFonts w:eastAsiaTheme="minorEastAsia"/>
          <w:color w:val="000000" w:themeColor="text1"/>
          <w:sz w:val="22"/>
          <w:szCs w:val="22"/>
        </w:rPr>
        <w:t>) is related to the porosity (</w:t>
      </w:r>
      <w:r w:rsidRPr="00540BC5">
        <w:rPr>
          <w:rFonts w:ascii="Symbol" w:eastAsiaTheme="minorEastAsia" w:hAnsi="Symbol"/>
          <w:i/>
          <w:iCs/>
          <w:color w:val="000000" w:themeColor="text1"/>
          <w:sz w:val="22"/>
          <w:szCs w:val="22"/>
        </w:rPr>
        <w:t>f</w:t>
      </w:r>
      <w:r w:rsidRPr="00540BC5">
        <w:rPr>
          <w:rFonts w:eastAsiaTheme="minorEastAsia"/>
          <w:color w:val="000000" w:themeColor="text1"/>
          <w:sz w:val="22"/>
          <w:szCs w:val="22"/>
        </w:rPr>
        <w:t>) via a power law relationship,</w:t>
      </w:r>
    </w:p>
    <w:p w14:paraId="59B01AA3" w14:textId="1CC3CD60" w:rsidR="00B87C9E" w:rsidRDefault="00540BC5" w:rsidP="00540BC5">
      <w:pPr>
        <w:pStyle w:val="NormalWeb"/>
        <w:spacing w:before="0" w:beforeAutospacing="0" w:after="0" w:afterAutospacing="0"/>
        <w:rPr>
          <w:rFonts w:eastAsiaTheme="minorEastAsia"/>
          <w:color w:val="000000" w:themeColor="text1"/>
          <w:sz w:val="22"/>
          <w:szCs w:val="22"/>
        </w:rPr>
      </w:pPr>
      <m:oMath>
        <m:r>
          <w:rPr>
            <w:rFonts w:ascii="Cambria Math" w:eastAsiaTheme="minorEastAsia" w:hAnsi="Cambria Math"/>
            <w:color w:val="000000" w:themeColor="text1"/>
            <w:sz w:val="22"/>
            <w:szCs w:val="22"/>
          </w:rPr>
          <m:t>F=</m:t>
        </m:r>
        <m:sSup>
          <m:sSupPr>
            <m:ctrlPr>
              <w:rPr>
                <w:rFonts w:ascii="Cambria Math" w:eastAsiaTheme="minorEastAsia" w:hAnsi="Cambria Math"/>
                <w:i/>
                <w:iCs/>
                <w:color w:val="000000" w:themeColor="text1"/>
                <w:sz w:val="22"/>
                <w:szCs w:val="22"/>
              </w:rPr>
            </m:ctrlPr>
          </m:sSupPr>
          <m:e>
            <m:r>
              <m:rPr>
                <m:sty m:val="p"/>
              </m:rPr>
              <w:rPr>
                <w:rFonts w:ascii="Cambria Math" w:eastAsiaTheme="minorEastAsia" w:hAnsi="Cambria Math"/>
                <w:color w:val="000000" w:themeColor="text1"/>
                <w:sz w:val="22"/>
                <w:szCs w:val="22"/>
              </w:rPr>
              <m:t>∅</m:t>
            </m:r>
          </m:e>
          <m:sup>
            <m:r>
              <w:rPr>
                <w:rFonts w:ascii="Cambria Math" w:eastAsiaTheme="minorEastAsia" w:hAnsi="Cambria Math"/>
                <w:color w:val="000000" w:themeColor="text1"/>
                <w:sz w:val="22"/>
                <w:szCs w:val="22"/>
              </w:rPr>
              <m:t>-m</m:t>
            </m:r>
          </m:sup>
        </m:sSup>
      </m:oMath>
      <w:r w:rsidR="00B87C9E">
        <w:rPr>
          <w:rFonts w:eastAsiaTheme="minorEastAsia"/>
          <w:color w:val="000000" w:themeColor="text1"/>
          <w:sz w:val="22"/>
          <w:szCs w:val="22"/>
        </w:rPr>
        <w:t>,</w:t>
      </w:r>
      <w:r w:rsidR="00B87C9E">
        <w:rPr>
          <w:rFonts w:eastAsiaTheme="minorEastAsia"/>
          <w:color w:val="000000" w:themeColor="text1"/>
          <w:sz w:val="22"/>
          <w:szCs w:val="22"/>
        </w:rPr>
        <w:tab/>
      </w:r>
      <w:r w:rsidR="00B87C9E">
        <w:rPr>
          <w:rFonts w:eastAsiaTheme="minorEastAsia"/>
          <w:color w:val="000000" w:themeColor="text1"/>
          <w:sz w:val="22"/>
          <w:szCs w:val="22"/>
        </w:rPr>
        <w:tab/>
      </w:r>
      <w:r w:rsidR="00B87C9E">
        <w:rPr>
          <w:rFonts w:eastAsiaTheme="minorEastAsia"/>
          <w:color w:val="000000" w:themeColor="text1"/>
          <w:sz w:val="22"/>
          <w:szCs w:val="22"/>
        </w:rPr>
        <w:tab/>
      </w:r>
      <w:r w:rsidR="00B87C9E">
        <w:rPr>
          <w:rFonts w:eastAsiaTheme="minorEastAsia"/>
          <w:color w:val="000000" w:themeColor="text1"/>
          <w:sz w:val="22"/>
          <w:szCs w:val="22"/>
        </w:rPr>
        <w:tab/>
      </w:r>
      <w:r w:rsidR="00B87C9E">
        <w:rPr>
          <w:rFonts w:eastAsiaTheme="minorEastAsia"/>
          <w:color w:val="000000" w:themeColor="text1"/>
          <w:sz w:val="22"/>
          <w:szCs w:val="22"/>
        </w:rPr>
        <w:tab/>
        <w:t>(3)</w:t>
      </w:r>
    </w:p>
    <w:p w14:paraId="58A4814B" w14:textId="611F3A90" w:rsidR="00540BC5" w:rsidRPr="00540BC5" w:rsidRDefault="00162E02" w:rsidP="00540BC5">
      <w:pPr>
        <w:pStyle w:val="NormalWeb"/>
        <w:spacing w:before="0" w:beforeAutospacing="0" w:after="0" w:afterAutospacing="0"/>
      </w:pPr>
      <w:r>
        <w:rPr>
          <w:rFonts w:eastAsiaTheme="minorEastAsia"/>
          <w:color w:val="000000" w:themeColor="text1"/>
          <w:sz w:val="22"/>
          <w:szCs w:val="22"/>
        </w:rPr>
        <w:t>w</w:t>
      </w:r>
      <w:r w:rsidR="00B87C9E">
        <w:rPr>
          <w:rFonts w:eastAsiaTheme="minorEastAsia"/>
          <w:color w:val="000000" w:themeColor="text1"/>
          <w:sz w:val="22"/>
          <w:szCs w:val="22"/>
        </w:rPr>
        <w:t xml:space="preserve">here </w:t>
      </w:r>
      <m:oMath>
        <m:r>
          <w:rPr>
            <w:rFonts w:ascii="Cambria Math" w:eastAsiaTheme="minorEastAsia" w:hAnsi="Cambria Math"/>
            <w:color w:val="000000" w:themeColor="text1"/>
            <w:sz w:val="22"/>
            <w:szCs w:val="22"/>
          </w:rPr>
          <m:t>m</m:t>
        </m:r>
      </m:oMath>
      <w:r w:rsidR="00B87C9E">
        <w:rPr>
          <w:rFonts w:eastAsiaTheme="minorEastAsia"/>
          <w:color w:val="000000" w:themeColor="text1"/>
          <w:sz w:val="22"/>
          <w:szCs w:val="22"/>
        </w:rPr>
        <w:t xml:space="preserve"> is the cementation exponent.</w:t>
      </w:r>
    </w:p>
    <w:p w14:paraId="5D321E27" w14:textId="1689E271" w:rsidR="0075164D" w:rsidRDefault="0075164D" w:rsidP="00540BC5">
      <w:pPr>
        <w:pStyle w:val="NormalWeb"/>
        <w:spacing w:before="0" w:beforeAutospacing="0" w:after="0" w:afterAutospacing="0"/>
        <w:rPr>
          <w:rFonts w:ascii="Symbol" w:eastAsiaTheme="minorEastAsia" w:hAnsi="Symbol" w:hint="eastAsia"/>
          <w:color w:val="000000" w:themeColor="text1"/>
          <w:sz w:val="22"/>
          <w:szCs w:val="22"/>
        </w:rPr>
      </w:pPr>
      <w:r>
        <w:rPr>
          <w:rFonts w:eastAsiaTheme="minorEastAsia"/>
          <w:color w:val="000000" w:themeColor="text1"/>
          <w:sz w:val="22"/>
          <w:szCs w:val="22"/>
        </w:rPr>
        <w:t xml:space="preserve">A linear form of this equation is obtained by taking the logs of F and </w:t>
      </w:r>
      <w:r w:rsidRPr="00540BC5">
        <w:rPr>
          <w:rFonts w:ascii="Symbol" w:eastAsiaTheme="minorEastAsia" w:hAnsi="Symbol"/>
          <w:i/>
          <w:iCs/>
          <w:color w:val="000000" w:themeColor="text1"/>
          <w:sz w:val="22"/>
          <w:szCs w:val="22"/>
        </w:rPr>
        <w:t>f</w:t>
      </w:r>
      <w:r>
        <w:rPr>
          <w:rFonts w:ascii="Symbol" w:eastAsiaTheme="minorEastAsia" w:hAnsi="Symbol"/>
          <w:color w:val="000000" w:themeColor="text1"/>
          <w:sz w:val="22"/>
          <w:szCs w:val="22"/>
        </w:rPr>
        <w:t>,</w:t>
      </w:r>
    </w:p>
    <w:p w14:paraId="42C0CB83" w14:textId="28F27BC5" w:rsidR="0075164D" w:rsidRPr="0075164D" w:rsidRDefault="00321425" w:rsidP="00540BC5">
      <w:pPr>
        <w:pStyle w:val="NormalWeb"/>
        <w:spacing w:before="0" w:beforeAutospacing="0" w:after="0" w:afterAutospacing="0"/>
        <w:rPr>
          <w:rFonts w:eastAsiaTheme="minorEastAsia"/>
          <w:color w:val="000000" w:themeColor="text1"/>
          <w:sz w:val="22"/>
          <w:szCs w:val="22"/>
        </w:rPr>
      </w:pPr>
      <m:oMath>
        <m:func>
          <m:funcPr>
            <m:ctrlPr>
              <w:rPr>
                <w:rFonts w:ascii="Cambria Math" w:eastAsiaTheme="minorEastAsia" w:hAnsi="Cambria Math"/>
                <w:color w:val="000000" w:themeColor="text1"/>
                <w:sz w:val="22"/>
                <w:szCs w:val="22"/>
              </w:rPr>
            </m:ctrlPr>
          </m:funcPr>
          <m:fName>
            <m:r>
              <m:rPr>
                <m:sty m:val="p"/>
              </m:rPr>
              <w:rPr>
                <w:rFonts w:ascii="Cambria Math" w:eastAsiaTheme="minorEastAsia" w:hAnsi="Cambria Math"/>
                <w:color w:val="000000" w:themeColor="text1"/>
                <w:sz w:val="22"/>
                <w:szCs w:val="22"/>
              </w:rPr>
              <m:t>log</m:t>
            </m:r>
          </m:fName>
          <m:e>
            <m:d>
              <m:dPr>
                <m:ctrlPr>
                  <w:rPr>
                    <w:rFonts w:ascii="Cambria Math" w:eastAsiaTheme="minorEastAsia" w:hAnsi="Cambria Math"/>
                    <w:i/>
                    <w:color w:val="000000" w:themeColor="text1"/>
                    <w:sz w:val="22"/>
                    <w:szCs w:val="22"/>
                  </w:rPr>
                </m:ctrlPr>
              </m:dPr>
              <m:e>
                <m:r>
                  <w:rPr>
                    <w:rFonts w:ascii="Cambria Math" w:eastAsiaTheme="minorEastAsia" w:hAnsi="Cambria Math"/>
                    <w:color w:val="000000" w:themeColor="text1"/>
                    <w:sz w:val="22"/>
                    <w:szCs w:val="22"/>
                  </w:rPr>
                  <m:t>F</m:t>
                </m:r>
              </m:e>
            </m:d>
          </m:e>
        </m:func>
        <m:r>
          <w:rPr>
            <w:rFonts w:ascii="Cambria Math" w:eastAsiaTheme="minorEastAsia" w:hAnsi="Cambria Math"/>
            <w:color w:val="000000" w:themeColor="text1"/>
            <w:sz w:val="22"/>
            <w:szCs w:val="22"/>
          </w:rPr>
          <m:t xml:space="preserve">=-m </m:t>
        </m:r>
        <m:r>
          <m:rPr>
            <m:sty m:val="p"/>
          </m:rPr>
          <w:rPr>
            <w:rFonts w:ascii="Cambria Math" w:eastAsiaTheme="minorEastAsia" w:hAnsi="Cambria Math"/>
            <w:color w:val="000000" w:themeColor="text1"/>
            <w:sz w:val="22"/>
            <w:szCs w:val="22"/>
          </w:rPr>
          <m:t>log⁡</m:t>
        </m:r>
        <m:r>
          <w:rPr>
            <w:rFonts w:ascii="Cambria Math" w:eastAsiaTheme="minorEastAsia" w:hAnsi="Cambria Math"/>
            <w:color w:val="000000" w:themeColor="text1"/>
            <w:sz w:val="22"/>
            <w:szCs w:val="22"/>
          </w:rPr>
          <m:t>(∅)</m:t>
        </m:r>
      </m:oMath>
      <w:r w:rsidR="0075164D">
        <w:rPr>
          <w:rFonts w:eastAsiaTheme="minorEastAsia"/>
          <w:color w:val="000000" w:themeColor="text1"/>
          <w:sz w:val="22"/>
          <w:szCs w:val="22"/>
        </w:rPr>
        <w:tab/>
        <w:t>(4)</w:t>
      </w:r>
    </w:p>
    <w:p w14:paraId="3A01017F" w14:textId="1153F6DC" w:rsidR="00540BC5" w:rsidRPr="00540BC5" w:rsidRDefault="00540BC5" w:rsidP="00540BC5">
      <w:pPr>
        <w:pStyle w:val="NormalWeb"/>
        <w:spacing w:before="0" w:beforeAutospacing="0" w:after="0" w:afterAutospacing="0"/>
      </w:pPr>
      <w:r w:rsidRPr="00540BC5">
        <w:rPr>
          <w:rFonts w:eastAsiaTheme="minorEastAsia"/>
          <w:color w:val="000000" w:themeColor="text1"/>
          <w:sz w:val="22"/>
          <w:szCs w:val="22"/>
        </w:rPr>
        <w:t>We will explore how this relationship applies to a range of unconsolidated sediments.</w:t>
      </w:r>
    </w:p>
    <w:p w14:paraId="283668B6" w14:textId="3200DBFB" w:rsidR="00083F5A" w:rsidRPr="00BD7FF7" w:rsidRDefault="007A0718" w:rsidP="00FF6B55">
      <w:r>
        <w:t>.</w:t>
      </w:r>
    </w:p>
    <w:p w14:paraId="470060C9" w14:textId="77777777" w:rsidR="00EE0A76" w:rsidRDefault="00EE0A76">
      <w:pPr>
        <w:spacing w:after="0"/>
        <w:rPr>
          <w:rFonts w:ascii="Arial" w:eastAsiaTheme="majorEastAsia" w:hAnsi="Arial" w:cstheme="majorBidi"/>
          <w:b/>
          <w:bCs/>
          <w:w w:val="110"/>
          <w:szCs w:val="28"/>
        </w:rPr>
      </w:pPr>
      <w:r>
        <w:rPr>
          <w:w w:val="110"/>
        </w:rPr>
        <w:br w:type="page"/>
      </w:r>
    </w:p>
    <w:p w14:paraId="4A5BCDCE" w14:textId="10D142E7" w:rsidR="00083F5A" w:rsidRPr="009B3DF1" w:rsidRDefault="001902F7" w:rsidP="00083F5A">
      <w:pPr>
        <w:pStyle w:val="Heading1"/>
      </w:pPr>
      <w:r>
        <w:rPr>
          <w:w w:val="110"/>
        </w:rPr>
        <w:lastRenderedPageBreak/>
        <w:t>2</w:t>
      </w:r>
      <w:r w:rsidR="00083F5A">
        <w:rPr>
          <w:w w:val="110"/>
        </w:rPr>
        <w:t xml:space="preserve">.2 </w:t>
      </w:r>
      <w:r w:rsidR="00540BC5">
        <w:rPr>
          <w:w w:val="110"/>
        </w:rPr>
        <w:t>Tasks</w:t>
      </w:r>
    </w:p>
    <w:p w14:paraId="5FAFAA1E" w14:textId="748DDE70" w:rsidR="00933103" w:rsidRDefault="00933103">
      <w:pPr>
        <w:spacing w:after="0"/>
      </w:pPr>
    </w:p>
    <w:tbl>
      <w:tblPr>
        <w:tblStyle w:val="TableGrid"/>
        <w:tblW w:w="0" w:type="auto"/>
        <w:tblLook w:val="04A0" w:firstRow="1" w:lastRow="0" w:firstColumn="1" w:lastColumn="0" w:noHBand="0" w:noVBand="1"/>
      </w:tblPr>
      <w:tblGrid>
        <w:gridCol w:w="9350"/>
      </w:tblGrid>
      <w:tr w:rsidR="00334C22" w14:paraId="2B2A2F28" w14:textId="77777777" w:rsidTr="008E0799">
        <w:tc>
          <w:tcPr>
            <w:tcW w:w="9350" w:type="dxa"/>
          </w:tcPr>
          <w:p w14:paraId="5385FE0E" w14:textId="77777777" w:rsidR="00334C22" w:rsidRPr="00834063" w:rsidRDefault="00334C22" w:rsidP="008E0799">
            <w:pPr>
              <w:rPr>
                <w:sz w:val="8"/>
                <w:szCs w:val="8"/>
              </w:rPr>
            </w:pPr>
          </w:p>
          <w:p w14:paraId="567034A7" w14:textId="11B5B65B" w:rsidR="00334C22" w:rsidRPr="00FF6B55" w:rsidRDefault="00334C22" w:rsidP="008E0799">
            <w:r>
              <w:t xml:space="preserve">Task </w:t>
            </w:r>
            <w:r w:rsidR="001902F7">
              <w:t>2.</w:t>
            </w:r>
            <w:r w:rsidR="0075164D">
              <w:t>2</w:t>
            </w:r>
            <w:r w:rsidR="001902F7">
              <w:t>.1</w:t>
            </w:r>
            <w:r>
              <w:t xml:space="preserve">.  </w:t>
            </w:r>
            <w:r w:rsidR="001902F7">
              <w:t>Comprehending electrical current flow in soils and rocks</w:t>
            </w:r>
          </w:p>
          <w:p w14:paraId="29A0D525" w14:textId="374C6DD3" w:rsidR="00334C22" w:rsidRPr="00494EAD" w:rsidRDefault="001902F7" w:rsidP="008E0799">
            <w:pPr>
              <w:pStyle w:val="ListParagraph"/>
              <w:numPr>
                <w:ilvl w:val="0"/>
                <w:numId w:val="7"/>
              </w:numPr>
              <w:rPr>
                <w:sz w:val="22"/>
                <w:szCs w:val="22"/>
              </w:rPr>
            </w:pPr>
            <w:r>
              <w:rPr>
                <w:sz w:val="22"/>
                <w:szCs w:val="22"/>
              </w:rPr>
              <w:t>Watch the short</w:t>
            </w:r>
            <w:r w:rsidR="00E82C1B">
              <w:rPr>
                <w:sz w:val="22"/>
                <w:szCs w:val="22"/>
              </w:rPr>
              <w:t>,</w:t>
            </w:r>
            <w:r>
              <w:rPr>
                <w:sz w:val="22"/>
                <w:szCs w:val="22"/>
              </w:rPr>
              <w:t xml:space="preserve"> </w:t>
            </w:r>
            <w:r w:rsidR="00E82C1B">
              <w:rPr>
                <w:sz w:val="22"/>
                <w:szCs w:val="22"/>
              </w:rPr>
              <w:t>narrated slideshow</w:t>
            </w:r>
            <w:r>
              <w:rPr>
                <w:sz w:val="22"/>
                <w:szCs w:val="22"/>
              </w:rPr>
              <w:t xml:space="preserve"> tutorial that summarizes how electrical current flows in soils and rocks</w:t>
            </w:r>
          </w:p>
          <w:p w14:paraId="1A1DA431" w14:textId="7A4DE0CA" w:rsidR="00334C22" w:rsidRPr="00494EAD" w:rsidRDefault="00E82C1B" w:rsidP="008E0799">
            <w:pPr>
              <w:pStyle w:val="ListParagraph"/>
              <w:numPr>
                <w:ilvl w:val="0"/>
                <w:numId w:val="7"/>
              </w:numPr>
              <w:rPr>
                <w:b/>
                <w:bCs/>
                <w:sz w:val="22"/>
                <w:szCs w:val="22"/>
              </w:rPr>
            </w:pPr>
            <w:r>
              <w:rPr>
                <w:bCs/>
                <w:sz w:val="22"/>
                <w:szCs w:val="22"/>
              </w:rPr>
              <w:t>You will use this tutorial</w:t>
            </w:r>
            <w:r w:rsidR="00334C22">
              <w:rPr>
                <w:bCs/>
                <w:sz w:val="22"/>
                <w:szCs w:val="22"/>
              </w:rPr>
              <w:t xml:space="preserve"> </w:t>
            </w:r>
            <w:r>
              <w:rPr>
                <w:bCs/>
                <w:sz w:val="22"/>
                <w:szCs w:val="22"/>
              </w:rPr>
              <w:t xml:space="preserve">to </w:t>
            </w:r>
            <w:r w:rsidR="00334C22">
              <w:rPr>
                <w:bCs/>
                <w:sz w:val="22"/>
                <w:szCs w:val="22"/>
              </w:rPr>
              <w:t xml:space="preserve">answer the questions in Section </w:t>
            </w:r>
            <w:r w:rsidR="001902F7">
              <w:rPr>
                <w:bCs/>
                <w:sz w:val="22"/>
                <w:szCs w:val="22"/>
              </w:rPr>
              <w:t>2</w:t>
            </w:r>
            <w:r w:rsidR="00334C22">
              <w:rPr>
                <w:bCs/>
                <w:sz w:val="22"/>
                <w:szCs w:val="22"/>
              </w:rPr>
              <w:t>.1</w:t>
            </w:r>
            <w:r w:rsidR="0075164D">
              <w:rPr>
                <w:bCs/>
                <w:sz w:val="22"/>
                <w:szCs w:val="22"/>
              </w:rPr>
              <w:t>.1</w:t>
            </w:r>
            <w:r w:rsidR="00334C22">
              <w:rPr>
                <w:bCs/>
                <w:sz w:val="22"/>
                <w:szCs w:val="22"/>
              </w:rPr>
              <w:t xml:space="preserve"> of the </w:t>
            </w:r>
            <w:r>
              <w:rPr>
                <w:bCs/>
                <w:sz w:val="22"/>
                <w:szCs w:val="22"/>
              </w:rPr>
              <w:t xml:space="preserve">student </w:t>
            </w:r>
            <w:r w:rsidR="00E322A2">
              <w:rPr>
                <w:bCs/>
                <w:sz w:val="22"/>
                <w:szCs w:val="22"/>
              </w:rPr>
              <w:t>worksheet</w:t>
            </w:r>
            <w:r w:rsidR="00334C22">
              <w:rPr>
                <w:bCs/>
                <w:sz w:val="22"/>
                <w:szCs w:val="22"/>
              </w:rPr>
              <w:t>.</w:t>
            </w:r>
          </w:p>
          <w:p w14:paraId="7E30A4AB" w14:textId="77777777" w:rsidR="00334C22" w:rsidRDefault="00334C22" w:rsidP="008E0799">
            <w:pPr>
              <w:pStyle w:val="ListParagraph"/>
              <w:numPr>
                <w:ilvl w:val="0"/>
                <w:numId w:val="0"/>
              </w:numPr>
              <w:ind w:left="720"/>
            </w:pPr>
          </w:p>
        </w:tc>
      </w:tr>
    </w:tbl>
    <w:p w14:paraId="5C6AE2E3" w14:textId="007D8258" w:rsidR="00334C22" w:rsidRDefault="00334C22">
      <w:pPr>
        <w:spacing w:after="0"/>
      </w:pPr>
    </w:p>
    <w:p w14:paraId="69FE155A" w14:textId="77777777" w:rsidR="00334C22" w:rsidRDefault="00334C22">
      <w:pPr>
        <w:spacing w:after="0"/>
      </w:pPr>
    </w:p>
    <w:tbl>
      <w:tblPr>
        <w:tblStyle w:val="TableGrid"/>
        <w:tblW w:w="0" w:type="auto"/>
        <w:tblLook w:val="04A0" w:firstRow="1" w:lastRow="0" w:firstColumn="1" w:lastColumn="0" w:noHBand="0" w:noVBand="1"/>
      </w:tblPr>
      <w:tblGrid>
        <w:gridCol w:w="9350"/>
      </w:tblGrid>
      <w:tr w:rsidR="008E1F7A" w14:paraId="35567C9F" w14:textId="77777777" w:rsidTr="00933103">
        <w:tc>
          <w:tcPr>
            <w:tcW w:w="9350" w:type="dxa"/>
          </w:tcPr>
          <w:p w14:paraId="5487F597" w14:textId="77777777" w:rsidR="00307C9D" w:rsidRPr="00834063" w:rsidRDefault="00307C9D" w:rsidP="008E1F7A">
            <w:pPr>
              <w:rPr>
                <w:sz w:val="8"/>
                <w:szCs w:val="8"/>
              </w:rPr>
            </w:pPr>
          </w:p>
          <w:p w14:paraId="0CC821D2" w14:textId="0D69DCFA" w:rsidR="001902F7" w:rsidRPr="00FF6B55" w:rsidRDefault="00C002B3" w:rsidP="001902F7">
            <w:r>
              <w:rPr>
                <w:noProof/>
                <w:sz w:val="22"/>
                <w:szCs w:val="22"/>
              </w:rPr>
              <w:drawing>
                <wp:anchor distT="0" distB="0" distL="114300" distR="114300" simplePos="0" relativeHeight="251658240" behindDoc="0" locked="0" layoutInCell="1" allowOverlap="1" wp14:anchorId="1C9A86E3" wp14:editId="612D854A">
                  <wp:simplePos x="0" y="0"/>
                  <wp:positionH relativeFrom="column">
                    <wp:posOffset>2461895</wp:posOffset>
                  </wp:positionH>
                  <wp:positionV relativeFrom="paragraph">
                    <wp:posOffset>254635</wp:posOffset>
                  </wp:positionV>
                  <wp:extent cx="3267710" cy="3926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710" cy="3926205"/>
                          </a:xfrm>
                          <a:prstGeom prst="rect">
                            <a:avLst/>
                          </a:prstGeom>
                          <a:noFill/>
                        </pic:spPr>
                      </pic:pic>
                    </a:graphicData>
                  </a:graphic>
                </wp:anchor>
              </w:drawing>
            </w:r>
            <w:r w:rsidR="008E1F7A">
              <w:t xml:space="preserve">Task </w:t>
            </w:r>
            <w:r w:rsidR="00334C22">
              <w:t>2</w:t>
            </w:r>
            <w:r w:rsidR="001902F7">
              <w:t>.2.2 Estimating formation factor and surface conductivity for rocks and soils</w:t>
            </w:r>
          </w:p>
          <w:p w14:paraId="5D893D9D" w14:textId="6F24E5DF" w:rsidR="008E1F7A" w:rsidRPr="00494EAD" w:rsidRDefault="001902F7" w:rsidP="008E1F7A">
            <w:pPr>
              <w:pStyle w:val="ListParagraph"/>
              <w:numPr>
                <w:ilvl w:val="0"/>
                <w:numId w:val="7"/>
              </w:numPr>
              <w:rPr>
                <w:sz w:val="22"/>
                <w:szCs w:val="22"/>
              </w:rPr>
            </w:pPr>
            <w:r>
              <w:rPr>
                <w:sz w:val="22"/>
                <w:szCs w:val="22"/>
              </w:rPr>
              <w:t>The Excel spreadsheet</w:t>
            </w:r>
            <w:r w:rsidR="005E428F">
              <w:rPr>
                <w:sz w:val="22"/>
                <w:szCs w:val="22"/>
              </w:rPr>
              <w:t xml:space="preserve"> Unit 2.xls</w:t>
            </w:r>
            <w:r>
              <w:rPr>
                <w:sz w:val="22"/>
                <w:szCs w:val="22"/>
              </w:rPr>
              <w:t xml:space="preserve"> contains a worksheet named Task 2.2.2</w:t>
            </w:r>
            <w:r w:rsidR="005E428F">
              <w:rPr>
                <w:sz w:val="22"/>
                <w:szCs w:val="22"/>
              </w:rPr>
              <w:t xml:space="preserve">. It contains </w:t>
            </w:r>
            <w:r w:rsidR="00FE1117">
              <w:rPr>
                <w:sz w:val="22"/>
                <w:szCs w:val="22"/>
              </w:rPr>
              <w:t>four</w:t>
            </w:r>
            <w:r w:rsidR="005E428F">
              <w:rPr>
                <w:sz w:val="22"/>
                <w:szCs w:val="22"/>
              </w:rPr>
              <w:t xml:space="preserve"> datasets with the electrical conductivity of the soil or rock plotted as a function of the fluid conductivity. </w:t>
            </w:r>
            <w:r w:rsidR="00B06A93">
              <w:rPr>
                <w:sz w:val="22"/>
                <w:szCs w:val="22"/>
              </w:rPr>
              <w:t xml:space="preserve">These datasets were acquired by taking a rock sample and varying the saturating fluid by pumping a progressively more electrically conductive solution through the sample. </w:t>
            </w:r>
            <w:r w:rsidR="00FE69A9">
              <w:rPr>
                <w:sz w:val="22"/>
                <w:szCs w:val="22"/>
              </w:rPr>
              <w:t xml:space="preserve">This simulates changes that will occur in the field e.g. as tide rises and more saline water comes in, or falls and more fresh water comes in. </w:t>
            </w:r>
            <w:r w:rsidR="00C002B3">
              <w:rPr>
                <w:sz w:val="22"/>
                <w:szCs w:val="22"/>
              </w:rPr>
              <w:t xml:space="preserve">The setup is shown in the figure in this box. </w:t>
            </w:r>
            <w:r w:rsidR="00B06A93">
              <w:rPr>
                <w:sz w:val="22"/>
                <w:szCs w:val="22"/>
              </w:rPr>
              <w:t xml:space="preserve">When the conductivity of the fluid at the outflow </w:t>
            </w:r>
            <w:r w:rsidR="00321425" w:rsidRPr="00B06A93">
              <w:rPr>
                <w:noProof/>
                <w:position w:val="-14"/>
                <w:sz w:val="22"/>
                <w:szCs w:val="22"/>
              </w:rPr>
              <w:object w:dxaOrig="620" w:dyaOrig="380" w14:anchorId="266BA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0.65pt;height:18.55pt;mso-width-percent:0;mso-height-percent:0;mso-width-percent:0;mso-height-percent:0" o:ole="">
                  <v:imagedata r:id="rId10" o:title=""/>
                </v:shape>
                <o:OLEObject Type="Embed" ProgID="Equation.DSMT4" ShapeID="_x0000_i1028" DrawAspect="Content" ObjectID="_1696401212" r:id="rId11"/>
              </w:object>
            </w:r>
            <w:r w:rsidR="00B06A93">
              <w:rPr>
                <w:sz w:val="22"/>
                <w:szCs w:val="22"/>
              </w:rPr>
              <w:t xml:space="preserve">is equal to the conductivity of the inflow fluid </w:t>
            </w:r>
            <w:r w:rsidR="00321425" w:rsidRPr="00B06A93">
              <w:rPr>
                <w:noProof/>
                <w:position w:val="-14"/>
                <w:sz w:val="22"/>
                <w:szCs w:val="22"/>
              </w:rPr>
              <w:object w:dxaOrig="540" w:dyaOrig="380" w14:anchorId="5BC12C36">
                <v:shape id="_x0000_i1027" type="#_x0000_t75" alt="" style="width:27.1pt;height:18.55pt;mso-width-percent:0;mso-height-percent:0;mso-width-percent:0;mso-height-percent:0" o:ole="">
                  <v:imagedata r:id="rId12" o:title=""/>
                </v:shape>
                <o:OLEObject Type="Embed" ProgID="Equation.DSMT4" ShapeID="_x0000_i1027" DrawAspect="Content" ObjectID="_1696401213" r:id="rId13"/>
              </w:object>
            </w:r>
            <w:r w:rsidR="00C002B3">
              <w:rPr>
                <w:sz w:val="22"/>
                <w:szCs w:val="22"/>
              </w:rPr>
              <w:t>, the conductivity of the pore fluid is assumed to be constant and the measurement is made</w:t>
            </w:r>
            <w:r w:rsidR="00B06A93">
              <w:rPr>
                <w:sz w:val="22"/>
                <w:szCs w:val="22"/>
              </w:rPr>
              <w:t xml:space="preserve">. </w:t>
            </w:r>
            <w:r w:rsidR="00D2491B">
              <w:rPr>
                <w:sz w:val="22"/>
                <w:szCs w:val="22"/>
              </w:rPr>
              <w:t xml:space="preserve">The two sandstone rock datasets </w:t>
            </w:r>
            <w:r w:rsidR="00FF5429">
              <w:rPr>
                <w:sz w:val="22"/>
                <w:szCs w:val="22"/>
              </w:rPr>
              <w:t xml:space="preserve">(B49/2 and B66/2) </w:t>
            </w:r>
            <w:r w:rsidR="00D2491B">
              <w:rPr>
                <w:sz w:val="22"/>
                <w:szCs w:val="22"/>
              </w:rPr>
              <w:t xml:space="preserve">are from </w:t>
            </w:r>
            <w:r w:rsidR="00020D3F">
              <w:rPr>
                <w:sz w:val="22"/>
                <w:szCs w:val="22"/>
              </w:rPr>
              <w:fldChar w:fldCharType="begin" w:fldLock="1"/>
            </w:r>
            <w:r w:rsidR="00020D3F">
              <w:rPr>
                <w:sz w:val="22"/>
                <w:szCs w:val="22"/>
              </w:rPr>
              <w:instrText>ADDIN CSL_CITATION {"citationItems":[{"id":"ITEM-1","itemData":{"author":[{"dropping-particle":"","family":"Rink","given":"M","non-dropping-particle":"","parse-names":false,"suffix":""},{"dropping-particle":"","family":"Schopper","given":"J R","non-dropping-particle":"","parse-names":false,"suffix":""}],"container-title":"SPWLA 15th Annual Logging Symposium","id":"ITEM-1","issued":{"date-parts":[["1974"]]},"title":"Interface conductivity and its implications to electric logging","type":"paper-conference"},"uris":["http://www.mendeley.com/documents/?uuid=4f5f5135-8ebb-430e-8aff-b903c94618de"]}],"mendeley":{"formattedCitation":"(Rink and Schopper, 1974)","manualFormatting":"Rink and Schopper (1974)","plainTextFormattedCitation":"(Rink and Schopper, 1974)","previouslyFormattedCitation":"(Rink and Schopper, 1974)"},"properties":{"noteIndex":0},"schema":"https://github.com/citation-style-language/schema/raw/master/csl-citation.json"}</w:instrText>
            </w:r>
            <w:r w:rsidR="00020D3F">
              <w:rPr>
                <w:sz w:val="22"/>
                <w:szCs w:val="22"/>
              </w:rPr>
              <w:fldChar w:fldCharType="separate"/>
            </w:r>
            <w:r w:rsidR="00020D3F" w:rsidRPr="00020D3F">
              <w:rPr>
                <w:noProof/>
                <w:sz w:val="22"/>
                <w:szCs w:val="22"/>
              </w:rPr>
              <w:t>Rink and Schopper</w:t>
            </w:r>
            <w:r w:rsidR="00020D3F">
              <w:rPr>
                <w:noProof/>
                <w:sz w:val="22"/>
                <w:szCs w:val="22"/>
              </w:rPr>
              <w:t xml:space="preserve"> (</w:t>
            </w:r>
            <w:r w:rsidR="00020D3F" w:rsidRPr="00020D3F">
              <w:rPr>
                <w:noProof/>
                <w:sz w:val="22"/>
                <w:szCs w:val="22"/>
              </w:rPr>
              <w:t>1974)</w:t>
            </w:r>
            <w:r w:rsidR="00020D3F">
              <w:rPr>
                <w:sz w:val="22"/>
                <w:szCs w:val="22"/>
              </w:rPr>
              <w:fldChar w:fldCharType="end"/>
            </w:r>
            <w:r w:rsidR="00D2491B">
              <w:rPr>
                <w:sz w:val="22"/>
                <w:szCs w:val="22"/>
              </w:rPr>
              <w:t xml:space="preserve">. The loamy soil </w:t>
            </w:r>
            <w:r w:rsidR="00FF5429">
              <w:rPr>
                <w:sz w:val="22"/>
                <w:szCs w:val="22"/>
              </w:rPr>
              <w:t>G1</w:t>
            </w:r>
            <w:r w:rsidR="00D2491B">
              <w:rPr>
                <w:sz w:val="22"/>
                <w:szCs w:val="22"/>
              </w:rPr>
              <w:t xml:space="preserve"> is from </w:t>
            </w:r>
            <w:r w:rsidR="00020D3F">
              <w:rPr>
                <w:sz w:val="22"/>
                <w:szCs w:val="22"/>
              </w:rPr>
              <w:fldChar w:fldCharType="begin" w:fldLock="1"/>
            </w:r>
            <w:r w:rsidR="00020D3F">
              <w:rPr>
                <w:sz w:val="22"/>
                <w:szCs w:val="22"/>
              </w:rPr>
              <w:instrText>ADDIN CSL_CITATION {"citationItems":[{"id":"ITEM-1","itemData":{"DOI":"10.2136/vzj2013.03.0059","ISSN":"1539-1663","abstract":"Recent studies have shown that induced polarization (IP) coupled with electrical resistivity surveys can be used for in situ lithological and hydrologic discrimination of the subsurface; yet the driving factors behind the effects of water content dynamics on IP are relatively understudied. We sought to improve the understanding of the relationship of IP on variations in water saturation degree for an undisturbed agricultural soil. Our experiment consisted of collecting IP measurements concurrently with hydraulic data during multistep outflow experiments. We determined the hydraulic properties of the undisturbed soil samples and co</w:instrText>
            </w:r>
            <w:r w:rsidR="00020D3F">
              <w:rPr>
                <w:rFonts w:hint="eastAsia"/>
                <w:sz w:val="22"/>
                <w:szCs w:val="22"/>
              </w:rPr>
              <w:instrText>rrelated saturation degree with IP data. Due to an increase in pore fluid conductivity in the column pore water with decreasing saturation degree, we found that imaginary conductivity (</w:instrText>
            </w:r>
            <w:r w:rsidR="00020D3F">
              <w:rPr>
                <w:rFonts w:hint="eastAsia"/>
                <w:sz w:val="22"/>
                <w:szCs w:val="22"/>
              </w:rPr>
              <w:instrText>σ″</w:instrText>
            </w:r>
            <w:r w:rsidR="00020D3F">
              <w:rPr>
                <w:rFonts w:hint="eastAsia"/>
                <w:sz w:val="22"/>
                <w:szCs w:val="22"/>
              </w:rPr>
              <w:instrText>) may offer distinct advantages for determining water content over real conductivity (</w:instrText>
            </w:r>
            <w:r w:rsidR="00020D3F">
              <w:rPr>
                <w:rFonts w:hint="eastAsia"/>
                <w:sz w:val="22"/>
                <w:szCs w:val="22"/>
              </w:rPr>
              <w:instrText>σ′</w:instrText>
            </w:r>
            <w:r w:rsidR="00020D3F">
              <w:rPr>
                <w:rFonts w:hint="eastAsia"/>
                <w:sz w:val="22"/>
                <w:szCs w:val="22"/>
              </w:rPr>
              <w:instrText xml:space="preserve">) measurements. Although </w:instrText>
            </w:r>
            <w:r w:rsidR="00020D3F">
              <w:rPr>
                <w:rFonts w:hint="eastAsia"/>
                <w:sz w:val="22"/>
                <w:szCs w:val="22"/>
              </w:rPr>
              <w:instrText>σ″</w:instrText>
            </w:r>
            <w:r w:rsidR="00020D3F">
              <w:rPr>
                <w:rFonts w:hint="eastAsia"/>
                <w:sz w:val="22"/>
                <w:szCs w:val="22"/>
              </w:rPr>
              <w:instrText xml:space="preserve"> exhibits a weaker dependence on saturation degree compared to </w:instrText>
            </w:r>
            <w:r w:rsidR="00020D3F">
              <w:rPr>
                <w:rFonts w:hint="eastAsia"/>
                <w:sz w:val="22"/>
                <w:szCs w:val="22"/>
              </w:rPr>
              <w:instrText>σ′</w:instrText>
            </w:r>
            <w:r w:rsidR="00020D3F">
              <w:rPr>
                <w:rFonts w:hint="eastAsia"/>
                <w:sz w:val="22"/>
                <w:szCs w:val="22"/>
              </w:rPr>
              <w:instrText xml:space="preserve">, the relative insensitivity of </w:instrText>
            </w:r>
            <w:r w:rsidR="00020D3F">
              <w:rPr>
                <w:rFonts w:hint="eastAsia"/>
                <w:sz w:val="22"/>
                <w:szCs w:val="22"/>
              </w:rPr>
              <w:instrText>σ″</w:instrText>
            </w:r>
            <w:r w:rsidR="00020D3F">
              <w:rPr>
                <w:rFonts w:hint="eastAsia"/>
                <w:sz w:val="22"/>
                <w:szCs w:val="22"/>
              </w:rPr>
              <w:instrText xml:space="preserve"> to pore fluid conductivity results in a simpler dependence on saturation change in the presence of varying s</w:instrText>
            </w:r>
            <w:r w:rsidR="00020D3F">
              <w:rPr>
                <w:sz w:val="22"/>
                <w:szCs w:val="22"/>
              </w:rPr>
              <w:instrText>alinities. As changes in pore fluid conductivity are likely to occur in the field simultaneously with water content variations, we suggest that although IP has mostly been used to discriminate lithology, time lapse IP measurements may additionally provide a robust indicator of changes in saturation degree. © Soil Science Society of America, All rights reserved.","author":[{"dropping-particle":"","family":"Grunat","given":"D.a.","non-dropping-particle":"","parse-names":false,"suffix":""},{"dropping-particle":"","family":"Slater","given":"L.D.","non-dropping-particle":"","parse-names":false,"suffix":""},{"dropping-particle":"","family":"Wehrer","given":"M.","non-dropping-particle":"","parse-names":false,"suffix":""}],"container-title":"Vadose Zone Journal","id":"ITEM-1","issue":"4","issued":{"date-parts":[["2013"]]},"title":"Complex Electrical Measurements on an Undisturbed Soil Core: Evidence for Improved Estimation of Saturation Degree from Imaginary Conductivity","type":"article-journal","volume":"12"},"uris":["http://www.mendeley.com/documents/?uuid=c8a15164-0358-42c7-9036-ab95a9847c34"]}],"mendeley":{"formattedCitation":"(Grunat, Slater and Wehrer, 2013)","manualFormatting":"Grunat et al. (2013)","plainTextFormattedCitation":"(Grunat, Slater and Wehrer, 2013)","previouslyFormattedCitation":"(Grunat, Slater and Wehrer, 2013)"},"properties":{"noteIndex":0},"schema":"https://github.com/citation-style-language/schema/raw/master/csl-citation.json"}</w:instrText>
            </w:r>
            <w:r w:rsidR="00020D3F">
              <w:rPr>
                <w:sz w:val="22"/>
                <w:szCs w:val="22"/>
              </w:rPr>
              <w:fldChar w:fldCharType="separate"/>
            </w:r>
            <w:r w:rsidR="00020D3F" w:rsidRPr="00020D3F">
              <w:rPr>
                <w:noProof/>
                <w:sz w:val="22"/>
                <w:szCs w:val="22"/>
              </w:rPr>
              <w:t>Grunat</w:t>
            </w:r>
            <w:r w:rsidR="00020D3F">
              <w:rPr>
                <w:noProof/>
                <w:sz w:val="22"/>
                <w:szCs w:val="22"/>
              </w:rPr>
              <w:t xml:space="preserve"> </w:t>
            </w:r>
            <w:r w:rsidR="00020D3F" w:rsidRPr="00020D3F">
              <w:rPr>
                <w:i/>
                <w:iCs/>
                <w:noProof/>
                <w:sz w:val="22"/>
                <w:szCs w:val="22"/>
              </w:rPr>
              <w:t>et al.</w:t>
            </w:r>
            <w:r w:rsidR="00020D3F">
              <w:rPr>
                <w:noProof/>
                <w:sz w:val="22"/>
                <w:szCs w:val="22"/>
              </w:rPr>
              <w:t xml:space="preserve"> (</w:t>
            </w:r>
            <w:r w:rsidR="00020D3F" w:rsidRPr="00020D3F">
              <w:rPr>
                <w:noProof/>
                <w:sz w:val="22"/>
                <w:szCs w:val="22"/>
              </w:rPr>
              <w:t>2013)</w:t>
            </w:r>
            <w:r w:rsidR="00020D3F">
              <w:rPr>
                <w:sz w:val="22"/>
                <w:szCs w:val="22"/>
              </w:rPr>
              <w:fldChar w:fldCharType="end"/>
            </w:r>
            <w:r w:rsidR="00D2491B">
              <w:rPr>
                <w:sz w:val="22"/>
                <w:szCs w:val="22"/>
              </w:rPr>
              <w:t xml:space="preserve">. </w:t>
            </w:r>
            <w:r w:rsidR="005E428F">
              <w:rPr>
                <w:sz w:val="22"/>
                <w:szCs w:val="22"/>
              </w:rPr>
              <w:t>Use the ‘</w:t>
            </w:r>
            <w:hyperlink r:id="rId14" w:history="1">
              <w:r w:rsidR="005E428F" w:rsidRPr="00EE13E8">
                <w:rPr>
                  <w:rStyle w:val="Hyperlink"/>
                  <w:sz w:val="22"/>
                  <w:szCs w:val="22"/>
                </w:rPr>
                <w:t>Add Trendline</w:t>
              </w:r>
            </w:hyperlink>
            <w:r w:rsidR="005E428F">
              <w:rPr>
                <w:sz w:val="22"/>
                <w:szCs w:val="22"/>
              </w:rPr>
              <w:t>’ function in Excel to estimate the formation factor (</w:t>
            </w:r>
            <w:r w:rsidR="005E428F" w:rsidRPr="005E428F">
              <w:rPr>
                <w:i/>
                <w:iCs/>
                <w:sz w:val="22"/>
                <w:szCs w:val="22"/>
              </w:rPr>
              <w:t>F</w:t>
            </w:r>
            <w:r w:rsidR="005E428F">
              <w:rPr>
                <w:sz w:val="22"/>
                <w:szCs w:val="22"/>
              </w:rPr>
              <w:t xml:space="preserve">) and the surface conductivity </w:t>
            </w:r>
            <w:r w:rsidR="005E428F" w:rsidRPr="00540BC5">
              <w:rPr>
                <w:rFonts w:cs="Times New Roman"/>
                <w:color w:val="000000" w:themeColor="text1"/>
                <w:sz w:val="22"/>
                <w:szCs w:val="22"/>
              </w:rPr>
              <w:t>(</w:t>
            </w:r>
            <w:r w:rsidR="005E428F" w:rsidRPr="00540BC5">
              <w:rPr>
                <w:rFonts w:ascii="Symbol" w:hAnsi="Symbol" w:cs="Times New Roman"/>
                <w:i/>
                <w:iCs/>
                <w:color w:val="000000" w:themeColor="text1"/>
                <w:sz w:val="22"/>
                <w:szCs w:val="22"/>
              </w:rPr>
              <w:t>s</w:t>
            </w:r>
            <w:r w:rsidR="005E428F" w:rsidRPr="00540BC5">
              <w:rPr>
                <w:rFonts w:cs="Times New Roman"/>
                <w:i/>
                <w:iCs/>
                <w:color w:val="000000" w:themeColor="text1"/>
                <w:position w:val="-6"/>
                <w:sz w:val="22"/>
                <w:szCs w:val="22"/>
                <w:vertAlign w:val="subscript"/>
              </w:rPr>
              <w:t>surf</w:t>
            </w:r>
            <w:r w:rsidR="005E428F" w:rsidRPr="00540BC5">
              <w:rPr>
                <w:rFonts w:cs="Times New Roman"/>
                <w:color w:val="000000" w:themeColor="text1"/>
                <w:sz w:val="22"/>
                <w:szCs w:val="22"/>
              </w:rPr>
              <w:t>)</w:t>
            </w:r>
            <w:r w:rsidR="0067261C">
              <w:rPr>
                <w:rFonts w:cs="Times New Roman"/>
                <w:color w:val="000000" w:themeColor="text1"/>
                <w:sz w:val="22"/>
                <w:szCs w:val="22"/>
              </w:rPr>
              <w:t xml:space="preserve"> for each sample. </w:t>
            </w:r>
            <w:r w:rsidR="00556A3D">
              <w:rPr>
                <w:rFonts w:cs="Times New Roman"/>
                <w:color w:val="000000" w:themeColor="text1"/>
                <w:sz w:val="22"/>
                <w:szCs w:val="22"/>
              </w:rPr>
              <w:t xml:space="preserve">You will need to add a linear trend line to represent equation 2. You expect to see a linear relationship plot as a straight line. However, when both axes are logarithmic (as in the Excel spreadsheet) then the result is a curved line (discussed further in the tutorial). </w:t>
            </w:r>
            <w:r w:rsidR="00CF40B9">
              <w:rPr>
                <w:rFonts w:cs="Times New Roman"/>
                <w:color w:val="000000" w:themeColor="text1"/>
                <w:sz w:val="22"/>
                <w:szCs w:val="22"/>
              </w:rPr>
              <w:t>Make sure to select the option ‘</w:t>
            </w:r>
            <w:r w:rsidR="00CF40B9" w:rsidRPr="00CF40B9">
              <w:rPr>
                <w:rFonts w:cs="Times New Roman"/>
                <w:i/>
                <w:iCs/>
                <w:color w:val="000000" w:themeColor="text1"/>
                <w:sz w:val="22"/>
                <w:szCs w:val="22"/>
              </w:rPr>
              <w:t>Display Equation on chart</w:t>
            </w:r>
            <w:r w:rsidR="00CF40B9">
              <w:rPr>
                <w:rFonts w:cs="Times New Roman"/>
                <w:color w:val="000000" w:themeColor="text1"/>
                <w:sz w:val="22"/>
                <w:szCs w:val="22"/>
              </w:rPr>
              <w:t>’ and ‘</w:t>
            </w:r>
            <w:r w:rsidR="00CF40B9" w:rsidRPr="00CF40B9">
              <w:rPr>
                <w:rFonts w:cs="Times New Roman"/>
                <w:i/>
                <w:iCs/>
                <w:color w:val="000000" w:themeColor="text1"/>
                <w:sz w:val="22"/>
                <w:szCs w:val="22"/>
              </w:rPr>
              <w:t>Display R-squared value on chart</w:t>
            </w:r>
            <w:r w:rsidR="00CF40B9">
              <w:rPr>
                <w:rFonts w:cs="Times New Roman"/>
                <w:color w:val="000000" w:themeColor="text1"/>
                <w:sz w:val="22"/>
                <w:szCs w:val="22"/>
              </w:rPr>
              <w:t>’ when adding your trendline.</w:t>
            </w:r>
          </w:p>
          <w:p w14:paraId="52CEE759" w14:textId="5490BF18" w:rsidR="0067261C" w:rsidRPr="0067261C" w:rsidRDefault="0067261C" w:rsidP="0067261C">
            <w:pPr>
              <w:pStyle w:val="ListParagraph"/>
              <w:numPr>
                <w:ilvl w:val="0"/>
                <w:numId w:val="7"/>
              </w:numPr>
              <w:rPr>
                <w:b/>
                <w:bCs/>
                <w:sz w:val="22"/>
                <w:szCs w:val="22"/>
              </w:rPr>
            </w:pPr>
            <w:r>
              <w:rPr>
                <w:bCs/>
                <w:sz w:val="22"/>
                <w:szCs w:val="22"/>
              </w:rPr>
              <w:t>Record the values of the surface conductivity (obtained from the intercept of the linear equation) and the formation factor (obtained from the slope of the linear equation) in the grey shaded boxes of the spreadsheet</w:t>
            </w:r>
          </w:p>
          <w:p w14:paraId="4E3908B4" w14:textId="4EB499F5" w:rsidR="0067261C" w:rsidRPr="0067261C" w:rsidRDefault="0075164D" w:rsidP="0067261C">
            <w:pPr>
              <w:pStyle w:val="ListParagraph"/>
              <w:numPr>
                <w:ilvl w:val="0"/>
                <w:numId w:val="7"/>
              </w:numPr>
              <w:rPr>
                <w:b/>
                <w:bCs/>
                <w:sz w:val="22"/>
                <w:szCs w:val="22"/>
              </w:rPr>
            </w:pPr>
            <w:r>
              <w:rPr>
                <w:sz w:val="22"/>
                <w:szCs w:val="22"/>
              </w:rPr>
              <w:lastRenderedPageBreak/>
              <w:t xml:space="preserve">Also record the </w:t>
            </w:r>
            <w:hyperlink r:id="rId15" w:history="1">
              <w:r w:rsidRPr="00E7463D">
                <w:rPr>
                  <w:rStyle w:val="Hyperlink"/>
                  <w:sz w:val="22"/>
                  <w:szCs w:val="22"/>
                </w:rPr>
                <w:t>coefficient of determination (R</w:t>
              </w:r>
              <w:r w:rsidR="00CF40B9" w:rsidRPr="00E7463D">
                <w:rPr>
                  <w:rStyle w:val="Hyperlink"/>
                  <w:sz w:val="22"/>
                  <w:szCs w:val="22"/>
                </w:rPr>
                <w:t>-squared value</w:t>
              </w:r>
              <w:r w:rsidRPr="00E7463D">
                <w:rPr>
                  <w:rStyle w:val="Hyperlink"/>
                  <w:sz w:val="22"/>
                  <w:szCs w:val="22"/>
                </w:rPr>
                <w:t>)</w:t>
              </w:r>
            </w:hyperlink>
            <w:r>
              <w:rPr>
                <w:sz w:val="22"/>
                <w:szCs w:val="22"/>
              </w:rPr>
              <w:t xml:space="preserve"> </w:t>
            </w:r>
            <w:r w:rsidR="00CF40B9">
              <w:rPr>
                <w:sz w:val="22"/>
                <w:szCs w:val="22"/>
              </w:rPr>
              <w:t>provided when using the ‘Add Trendline’ function for each case</w:t>
            </w:r>
            <w:r w:rsidR="003A4A06">
              <w:rPr>
                <w:sz w:val="22"/>
                <w:szCs w:val="22"/>
              </w:rPr>
              <w:t xml:space="preserve">. This tells us how much of the variation in the dependent variable (the conductivity of the sample </w:t>
            </w:r>
            <w:r w:rsidR="00321425" w:rsidRPr="003A4A06">
              <w:rPr>
                <w:noProof/>
                <w:position w:val="-12"/>
                <w:sz w:val="22"/>
                <w:szCs w:val="22"/>
              </w:rPr>
              <w:object w:dxaOrig="480" w:dyaOrig="360" w14:anchorId="6355D044">
                <v:shape id="_x0000_i1026" type="#_x0000_t75" alt="" style="width:24.25pt;height:17.8pt;mso-width-percent:0;mso-height-percent:0;mso-width-percent:0;mso-height-percent:0" o:ole="">
                  <v:imagedata r:id="rId16" o:title=""/>
                </v:shape>
                <o:OLEObject Type="Embed" ProgID="Equation.DSMT4" ShapeID="_x0000_i1026" DrawAspect="Content" ObjectID="_1696401214" r:id="rId17"/>
              </w:object>
            </w:r>
            <w:r w:rsidR="003A4A06">
              <w:rPr>
                <w:sz w:val="22"/>
                <w:szCs w:val="22"/>
              </w:rPr>
              <w:t xml:space="preserve">in our case) is attributable to variations in the independent variable (the pore fluid conductivity </w:t>
            </w:r>
            <w:r w:rsidR="00321425" w:rsidRPr="003A4A06">
              <w:rPr>
                <w:noProof/>
                <w:position w:val="-12"/>
                <w:sz w:val="22"/>
                <w:szCs w:val="22"/>
              </w:rPr>
              <w:object w:dxaOrig="320" w:dyaOrig="360" w14:anchorId="10CDA4D4">
                <v:shape id="_x0000_i1025" type="#_x0000_t75" alt="" style="width:15.7pt;height:17.8pt;mso-width-percent:0;mso-height-percent:0;mso-width-percent:0;mso-height-percent:0" o:ole="">
                  <v:imagedata r:id="rId18" o:title=""/>
                </v:shape>
                <o:OLEObject Type="Embed" ProgID="Equation.DSMT4" ShapeID="_x0000_i1025" DrawAspect="Content" ObjectID="_1696401215" r:id="rId19"/>
              </w:object>
            </w:r>
            <w:r w:rsidR="003A4A06">
              <w:rPr>
                <w:sz w:val="22"/>
                <w:szCs w:val="22"/>
              </w:rPr>
              <w:t>in our case).</w:t>
            </w:r>
          </w:p>
          <w:p w14:paraId="65DB9E58" w14:textId="77777777" w:rsidR="008E1F7A" w:rsidRDefault="008E1F7A" w:rsidP="00CA7E61">
            <w:pPr>
              <w:pStyle w:val="ListParagraph"/>
              <w:numPr>
                <w:ilvl w:val="0"/>
                <w:numId w:val="0"/>
              </w:numPr>
              <w:ind w:left="720"/>
            </w:pPr>
          </w:p>
        </w:tc>
      </w:tr>
    </w:tbl>
    <w:p w14:paraId="3896FCA1" w14:textId="14E0EF12" w:rsidR="00834063" w:rsidRDefault="00834063" w:rsidP="00FF6B55"/>
    <w:tbl>
      <w:tblPr>
        <w:tblStyle w:val="TableGrid"/>
        <w:tblW w:w="0" w:type="auto"/>
        <w:tblLook w:val="04A0" w:firstRow="1" w:lastRow="0" w:firstColumn="1" w:lastColumn="0" w:noHBand="0" w:noVBand="1"/>
      </w:tblPr>
      <w:tblGrid>
        <w:gridCol w:w="9350"/>
      </w:tblGrid>
      <w:tr w:rsidR="00CA7E61" w14:paraId="2223A3A1" w14:textId="77777777" w:rsidTr="00493600">
        <w:tc>
          <w:tcPr>
            <w:tcW w:w="9350" w:type="dxa"/>
          </w:tcPr>
          <w:p w14:paraId="7EAD0210" w14:textId="77777777" w:rsidR="00CA7E61" w:rsidRPr="00834063" w:rsidRDefault="00CA7E61" w:rsidP="00493600">
            <w:pPr>
              <w:rPr>
                <w:sz w:val="8"/>
                <w:szCs w:val="8"/>
              </w:rPr>
            </w:pPr>
          </w:p>
          <w:p w14:paraId="4E3510A7" w14:textId="1613C34B" w:rsidR="00CA7E61" w:rsidRPr="00FF6B55" w:rsidRDefault="00CA7E61" w:rsidP="00493600">
            <w:r>
              <w:t xml:space="preserve">Task </w:t>
            </w:r>
            <w:r w:rsidR="0075164D">
              <w:t>2.2</w:t>
            </w:r>
            <w:r>
              <w:t>.</w:t>
            </w:r>
            <w:r w:rsidR="0075164D">
              <w:t>3</w:t>
            </w:r>
            <w:r>
              <w:t xml:space="preserve">  </w:t>
            </w:r>
            <w:r w:rsidR="0075164D">
              <w:t>Archie’s relationship between formation factor (F) and porosity (</w:t>
            </w:r>
            <w:r w:rsidR="0075164D" w:rsidRPr="0075164D">
              <w:rPr>
                <w:rFonts w:ascii="Symbol" w:hAnsi="Symbol"/>
                <w:i/>
                <w:iCs/>
              </w:rPr>
              <w:t>f</w:t>
            </w:r>
            <w:r w:rsidR="0075164D">
              <w:t>)</w:t>
            </w:r>
          </w:p>
          <w:p w14:paraId="5A6F96B3" w14:textId="75941936" w:rsidR="00073F03" w:rsidRDefault="00C51E44" w:rsidP="00073F03">
            <w:pPr>
              <w:pStyle w:val="ListParagraph"/>
              <w:numPr>
                <w:ilvl w:val="0"/>
                <w:numId w:val="0"/>
              </w:numPr>
              <w:ind w:left="720"/>
              <w:rPr>
                <w:sz w:val="22"/>
                <w:szCs w:val="22"/>
              </w:rPr>
            </w:pPr>
            <w:r>
              <w:rPr>
                <w:noProof/>
                <w:sz w:val="22"/>
                <w:szCs w:val="22"/>
              </w:rPr>
              <w:drawing>
                <wp:anchor distT="0" distB="0" distL="114300" distR="114300" simplePos="0" relativeHeight="251659264" behindDoc="0" locked="0" layoutInCell="1" allowOverlap="1" wp14:anchorId="511E117D" wp14:editId="0CA5A5A5">
                  <wp:simplePos x="0" y="0"/>
                  <wp:positionH relativeFrom="column">
                    <wp:posOffset>3455035</wp:posOffset>
                  </wp:positionH>
                  <wp:positionV relativeFrom="paragraph">
                    <wp:posOffset>16510</wp:posOffset>
                  </wp:positionV>
                  <wp:extent cx="2254250" cy="16776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54250" cy="1677670"/>
                          </a:xfrm>
                          <a:prstGeom prst="rect">
                            <a:avLst/>
                          </a:prstGeom>
                          <a:noFill/>
                        </pic:spPr>
                      </pic:pic>
                    </a:graphicData>
                  </a:graphic>
                  <wp14:sizeRelH relativeFrom="margin">
                    <wp14:pctWidth>0</wp14:pctWidth>
                  </wp14:sizeRelH>
                  <wp14:sizeRelV relativeFrom="margin">
                    <wp14:pctHeight>0</wp14:pctHeight>
                  </wp14:sizeRelV>
                </wp:anchor>
              </w:drawing>
            </w:r>
            <w:r w:rsidR="00073F03" w:rsidRPr="00073F03">
              <w:rPr>
                <w:sz w:val="22"/>
                <w:szCs w:val="22"/>
              </w:rPr>
              <w:t xml:space="preserve">The Excel spreadsheet Unit 2.xls contains a worksheet named Task 2.2.3. It contains two datasets acquired on different types of unconsolidated sediments. The </w:t>
            </w:r>
            <w:r w:rsidR="00020D3F">
              <w:rPr>
                <w:sz w:val="22"/>
                <w:szCs w:val="22"/>
              </w:rPr>
              <w:fldChar w:fldCharType="begin" w:fldLock="1"/>
            </w:r>
            <w:r w:rsidR="00020D3F">
              <w:rPr>
                <w:sz w:val="22"/>
                <w:szCs w:val="22"/>
              </w:rPr>
              <w:instrText>ADDIN CSL_CITATION {"citationItems":[{"id":"ITEM-1","itemData":{"DOI":"10.1029/2001WR001075","ISBN":"0043-1397","ISSN":"0043-1397","abstract":"We use complex conductivity measurements to predict the hydraulic conductivity (K) of unconsolidated materials. The samples include natural sediments and artificial sand/clay mixtures. We apply the Börner et al. [1996] model, which is based on the Kozeny-Carman equation and incorporates electrical estimates of formation factor (F) and specific surface area per unit</w:instrText>
            </w:r>
            <w:r w:rsidR="00020D3F">
              <w:rPr>
                <w:rFonts w:hint="eastAsia"/>
                <w:sz w:val="22"/>
                <w:szCs w:val="22"/>
              </w:rPr>
              <w:instrText xml:space="preserve"> volume-to-porosity ratio (Spor), from the real (</w:instrText>
            </w:r>
            <w:r w:rsidR="00020D3F">
              <w:rPr>
                <w:rFonts w:hint="eastAsia"/>
                <w:sz w:val="22"/>
                <w:szCs w:val="22"/>
              </w:rPr>
              <w:instrText>σ′</w:instrText>
            </w:r>
            <w:r w:rsidR="00020D3F">
              <w:rPr>
                <w:rFonts w:hint="eastAsia"/>
                <w:sz w:val="22"/>
                <w:szCs w:val="22"/>
              </w:rPr>
              <w:instrText>) and imaginary (</w:instrText>
            </w:r>
            <w:r w:rsidR="00020D3F">
              <w:rPr>
                <w:rFonts w:hint="eastAsia"/>
                <w:sz w:val="22"/>
                <w:szCs w:val="22"/>
              </w:rPr>
              <w:instrText>σ″</w:instrText>
            </w:r>
            <w:r w:rsidR="00020D3F">
              <w:rPr>
                <w:rFonts w:hint="eastAsia"/>
                <w:sz w:val="22"/>
                <w:szCs w:val="22"/>
              </w:rPr>
              <w:instrText xml:space="preserve">) conductivity components respectively. We find that K correlates with </w:instrText>
            </w:r>
            <w:r w:rsidR="00020D3F">
              <w:rPr>
                <w:rFonts w:hint="eastAsia"/>
                <w:sz w:val="22"/>
                <w:szCs w:val="22"/>
              </w:rPr>
              <w:instrText>σ″</w:instrText>
            </w:r>
            <w:r w:rsidR="00020D3F">
              <w:rPr>
                <w:rFonts w:hint="eastAsia"/>
                <w:sz w:val="22"/>
                <w:szCs w:val="22"/>
              </w:rPr>
              <w:instrText xml:space="preserve"> but shows no correlation with F, which we attribute to the wide range in grain size for these materials. The Börner model appears primarily dependent on the K - </w:instrText>
            </w:r>
            <w:r w:rsidR="00020D3F">
              <w:rPr>
                <w:rFonts w:hint="eastAsia"/>
                <w:sz w:val="22"/>
                <w:szCs w:val="22"/>
              </w:rPr>
              <w:instrText>σ″</w:instrText>
            </w:r>
            <w:r w:rsidR="00020D3F">
              <w:rPr>
                <w:rFonts w:hint="eastAsia"/>
                <w:sz w:val="22"/>
                <w:szCs w:val="22"/>
              </w:rPr>
              <w:instrText xml:space="preserve"> relation. The relationship between </w:instrText>
            </w:r>
            <w:r w:rsidR="00020D3F">
              <w:rPr>
                <w:rFonts w:hint="eastAsia"/>
                <w:sz w:val="22"/>
                <w:szCs w:val="22"/>
              </w:rPr>
              <w:instrText>σ″</w:instrText>
            </w:r>
            <w:r w:rsidR="00020D3F">
              <w:rPr>
                <w:rFonts w:hint="eastAsia"/>
                <w:sz w:val="22"/>
                <w:szCs w:val="22"/>
              </w:rPr>
              <w:instrText xml:space="preserve"> and Spor is nonlinear and appears to depend upon material type. Further examination shows that </w:instrText>
            </w:r>
            <w:r w:rsidR="00020D3F">
              <w:rPr>
                <w:rFonts w:hint="eastAsia"/>
                <w:sz w:val="22"/>
                <w:szCs w:val="22"/>
              </w:rPr>
              <w:instrText>σ″</w:instrText>
            </w:r>
            <w:r w:rsidR="00020D3F">
              <w:rPr>
                <w:rFonts w:hint="eastAsia"/>
                <w:sz w:val="22"/>
                <w:szCs w:val="22"/>
              </w:rPr>
              <w:instrText xml:space="preserve"> is well correlated with effective grain size (d10) and is relatively independent of the material type. We propose a simple Hazen-type equation in which the effective grain size is estimated from </w:instrText>
            </w:r>
            <w:r w:rsidR="00020D3F">
              <w:rPr>
                <w:rFonts w:hint="eastAsia"/>
                <w:sz w:val="22"/>
                <w:szCs w:val="22"/>
              </w:rPr>
              <w:instrText>σ″</w:instrText>
            </w:r>
            <w:r w:rsidR="00020D3F">
              <w:rPr>
                <w:rFonts w:hint="eastAsia"/>
                <w:sz w:val="22"/>
                <w:szCs w:val="22"/>
              </w:rPr>
              <w:instrText>. This simple model provides order of magnitude estimates of K for a range of unconsolidated sediments.","author":[{"droppin</w:instrText>
            </w:r>
            <w:r w:rsidR="00020D3F">
              <w:rPr>
                <w:sz w:val="22"/>
                <w:szCs w:val="22"/>
              </w:rPr>
              <w:instrText>g-particle":"","family":"Slater","given":"Lee","non-dropping-particle":"","parse-names":false,"suffix":""},{"dropping-particle":"","family":"Lesmes","given":"D.P.","non-dropping-particle":"","parse-names":false,"suffix":""}],"container-title":"Water Resources Research","id":"ITEM-1","issue":"10","issued":{"date-parts":[["2002"]]},"page":"1-13","title":"Electrical-hydraulic relationships observed for unconsolidated sediments","type":"article-journal","volume":"38"},"uris":["http://www.mendeley.com/documents/?uuid=b06fcc20-5377-409b-bf8b-f6ae382f7132"]}],"mendeley":{"formattedCitation":"(Slater and Lesmes, 2002)","manualFormatting":"Slater and Lesmes  (2002)","plainTextFormattedCitation":"(Slater and Lesmes, 2002)","previouslyFormattedCitation":"(Slater and Lesmes, 2002)"},"properties":{"noteIndex":0},"schema":"https://github.com/citation-style-language/schema/raw/master/csl-citation.json"}</w:instrText>
            </w:r>
            <w:r w:rsidR="00020D3F">
              <w:rPr>
                <w:sz w:val="22"/>
                <w:szCs w:val="22"/>
              </w:rPr>
              <w:fldChar w:fldCharType="separate"/>
            </w:r>
            <w:r w:rsidR="00020D3F" w:rsidRPr="00020D3F">
              <w:rPr>
                <w:noProof/>
                <w:sz w:val="22"/>
                <w:szCs w:val="22"/>
              </w:rPr>
              <w:t>Slater and Lesmes</w:t>
            </w:r>
            <w:r w:rsidR="00020D3F">
              <w:rPr>
                <w:noProof/>
                <w:sz w:val="22"/>
                <w:szCs w:val="22"/>
              </w:rPr>
              <w:t xml:space="preserve"> </w:t>
            </w:r>
            <w:r w:rsidR="00020D3F" w:rsidRPr="00020D3F">
              <w:rPr>
                <w:noProof/>
                <w:sz w:val="22"/>
                <w:szCs w:val="22"/>
              </w:rPr>
              <w:t xml:space="preserve"> </w:t>
            </w:r>
            <w:r w:rsidR="00020D3F">
              <w:rPr>
                <w:noProof/>
                <w:sz w:val="22"/>
                <w:szCs w:val="22"/>
              </w:rPr>
              <w:t>(</w:t>
            </w:r>
            <w:r w:rsidR="00020D3F" w:rsidRPr="00020D3F">
              <w:rPr>
                <w:noProof/>
                <w:sz w:val="22"/>
                <w:szCs w:val="22"/>
              </w:rPr>
              <w:t>2002)</w:t>
            </w:r>
            <w:r w:rsidR="00020D3F">
              <w:rPr>
                <w:sz w:val="22"/>
                <w:szCs w:val="22"/>
              </w:rPr>
              <w:fldChar w:fldCharType="end"/>
            </w:r>
            <w:r w:rsidR="00073F03" w:rsidRPr="00073F03">
              <w:rPr>
                <w:sz w:val="22"/>
                <w:szCs w:val="22"/>
              </w:rPr>
              <w:t xml:space="preserve"> dataset is composed of artificial unconsolidated sediments and samples of natural glacial till from different sites in Maine</w:t>
            </w:r>
            <w:r w:rsidR="00D2491B">
              <w:rPr>
                <w:sz w:val="22"/>
                <w:szCs w:val="22"/>
              </w:rPr>
              <w:t xml:space="preserve"> (USA)</w:t>
            </w:r>
            <w:r w:rsidR="00073F03" w:rsidRPr="00073F03">
              <w:rPr>
                <w:sz w:val="22"/>
                <w:szCs w:val="22"/>
              </w:rPr>
              <w:t xml:space="preserve">. The </w:t>
            </w:r>
            <w:r w:rsidR="00020D3F">
              <w:rPr>
                <w:sz w:val="22"/>
                <w:szCs w:val="22"/>
              </w:rPr>
              <w:fldChar w:fldCharType="begin" w:fldLock="1"/>
            </w:r>
            <w:r w:rsidR="009B18C3">
              <w:rPr>
                <w:sz w:val="22"/>
                <w:szCs w:val="22"/>
              </w:rPr>
              <w:instrText>ADDIN CSL_CITATION {"citationItems":[{"id":"ITEM-1","itemData":{"DOI":"10.1002/2013WR014631","ISSN":"1944-7973","abstract":"Mechanistic models now exist to predict hydraulic conductivity (K) from the spectral-induced polarization (SIP) response of granular media. We examined the predictions of such a model on unconsolidated coarse fluvial sediments and compared them to those obtained with a modified Kozeny-Carman (KC) model. Samples were retrieved from the Boise Hydrogeophysical Research Site (BHRS), located on a gravel bar adjacent to the Boise River, Idaho. A sample holder (0.102 m diameter and 0.12 m in length) was designed to include the cobble framework in reconstituted samples representing the primary stratigraphic units defined based on porosity variation at this site. SIP (0.001-1000 Hz) and K (from Darcy tests) measurements were recorded for 12 samples, with SIP measurements made as a function of pore fluid conductivity (3-300 mS/m), grain size distribution (GSD), and total porosity. K prediction with the KC model was improved after discounting of the cobble framework and multiplying by the tortuosity resulting from matrix \"capillaries\" around the cobbles, resulting in estimates within a factor of 5 of the measurements. K prediction with a mechanistic SIP model based on Stern layer polarization (SLP model) that requires an estimate of the GSD also required discounting for the cobble framework to obtain estimates within 0.5 orders of magnitude of the measurements. Similarly, the SLP model overpredicts the measured imaginary conductivity (σâ€) unless the cobble framework is discounted, which then results in estimates of σâ€ within a factor of 2 of the measurements. This can be explained by the fact that the cobbles polarize at frequencies well below the minimum measurement frequency (0.001 Hz). The SLP model for K prediction parameterized in terms of the formation factor and imaginary conductivity performed well for the 10 samples with a cobble framework without modification as the imaginary conductivity directly senses the matrix grain size characteristics, whereas the formation factor captures the porosity reduction and tortuosity resulting from the presence of the cobble framework (capillary tortuosity). Our findings suggest that the estimation of contrasts in K in coarse sediments may be achievable through measurements of electrical properties after appropriate consideration of the cobble fraction. Key Points: The cobble framework complicates interpretation of K from SIP Discounting the cobble framework improves SIP estimation of K Such discounting also improves e…","author":[{"dropping-particle":"","family":"Slater","given":"Lee","non-dropping-particle":"","parse-names":false,"suffix":""},{"dropping-particle":"","family":"Barrash","given":"Warren","non-dropping-particle":"","parse-names":false,"suffix":""},{"dropping-particle":"","family":"Montrey","given":"Jeanette","non-dropping-particle":"","parse-names":false,"suffix":""},{"dropping-particle":"","family":"Binley","given":"Andrew","non-dropping-particle":"","parse-names":false,"suffix":""}],"container-title":"Water Resources Research","id":"ITEM-1","issue":"7","issued":{"date-parts":[["2014"]]},"page":"5721-5742","title":"Electrical-hydraulic relationships observed for unconsolidated sediments in the presence of a cobble framework","type":"article-journal","volume":"50"},"uris":["http://www.mendeley.com/documents/?uuid=ec69eeee-4634-4ddb-93b5-98c666d5cf81"]}],"mendeley":{"formattedCitation":"(Slater &lt;i&gt;et al.&lt;/i&gt;, 2014)","manualFormatting":"Slater et al. (2014)","plainTextFormattedCitation":"(Slater et al., 2014)","previouslyFormattedCitation":"(Slater &lt;i&gt;et al.&lt;/i&gt;, 2014)"},"properties":{"noteIndex":0},"schema":"https://github.com/citation-style-language/schema/raw/master/csl-citation.json"}</w:instrText>
            </w:r>
            <w:r w:rsidR="00020D3F">
              <w:rPr>
                <w:sz w:val="22"/>
                <w:szCs w:val="22"/>
              </w:rPr>
              <w:fldChar w:fldCharType="separate"/>
            </w:r>
            <w:r w:rsidR="00020D3F" w:rsidRPr="00020D3F">
              <w:rPr>
                <w:noProof/>
                <w:sz w:val="22"/>
                <w:szCs w:val="22"/>
              </w:rPr>
              <w:t xml:space="preserve">Slater </w:t>
            </w:r>
            <w:r w:rsidR="00020D3F" w:rsidRPr="00020D3F">
              <w:rPr>
                <w:i/>
                <w:noProof/>
                <w:sz w:val="22"/>
                <w:szCs w:val="22"/>
              </w:rPr>
              <w:t>et al.</w:t>
            </w:r>
            <w:r w:rsidR="00020D3F">
              <w:rPr>
                <w:i/>
                <w:noProof/>
                <w:sz w:val="22"/>
                <w:szCs w:val="22"/>
              </w:rPr>
              <w:t xml:space="preserve"> </w:t>
            </w:r>
            <w:r w:rsidR="00020D3F" w:rsidRPr="00020D3F">
              <w:rPr>
                <w:iCs/>
                <w:noProof/>
                <w:sz w:val="22"/>
                <w:szCs w:val="22"/>
              </w:rPr>
              <w:t>(</w:t>
            </w:r>
            <w:r w:rsidR="00020D3F" w:rsidRPr="00020D3F">
              <w:rPr>
                <w:noProof/>
                <w:sz w:val="22"/>
                <w:szCs w:val="22"/>
              </w:rPr>
              <w:t>2014)</w:t>
            </w:r>
            <w:r w:rsidR="00020D3F">
              <w:rPr>
                <w:sz w:val="22"/>
                <w:szCs w:val="22"/>
              </w:rPr>
              <w:fldChar w:fldCharType="end"/>
            </w:r>
            <w:r w:rsidR="00073F03" w:rsidRPr="00073F03">
              <w:rPr>
                <w:sz w:val="22"/>
                <w:szCs w:val="22"/>
              </w:rPr>
              <w:t xml:space="preserve"> dataset is composed of </w:t>
            </w:r>
            <w:r w:rsidR="00D2491B">
              <w:rPr>
                <w:sz w:val="22"/>
                <w:szCs w:val="22"/>
              </w:rPr>
              <w:t>re-created</w:t>
            </w:r>
            <w:r w:rsidR="00073F03" w:rsidRPr="00073F03">
              <w:rPr>
                <w:sz w:val="22"/>
                <w:szCs w:val="22"/>
              </w:rPr>
              <w:t xml:space="preserve"> flood plain deposits obtained from a gravel bar of the Boise River in Idaho</w:t>
            </w:r>
            <w:r w:rsidR="00D2491B">
              <w:rPr>
                <w:sz w:val="22"/>
                <w:szCs w:val="22"/>
              </w:rPr>
              <w:t xml:space="preserve"> (USA)</w:t>
            </w:r>
            <w:r w:rsidR="00073F03" w:rsidRPr="00073F03">
              <w:rPr>
                <w:sz w:val="22"/>
                <w:szCs w:val="22"/>
              </w:rPr>
              <w:t xml:space="preserve">. These samples include </w:t>
            </w:r>
            <w:r w:rsidR="00A5348A">
              <w:rPr>
                <w:sz w:val="22"/>
                <w:szCs w:val="22"/>
              </w:rPr>
              <w:t>significant large cobbles</w:t>
            </w:r>
            <w:r w:rsidR="00073F03" w:rsidRPr="00073F03">
              <w:rPr>
                <w:sz w:val="22"/>
                <w:szCs w:val="22"/>
              </w:rPr>
              <w:t xml:space="preserve"> found at the site</w:t>
            </w:r>
            <w:r>
              <w:rPr>
                <w:sz w:val="22"/>
                <w:szCs w:val="22"/>
              </w:rPr>
              <w:t xml:space="preserve"> as shown in the photo</w:t>
            </w:r>
            <w:r w:rsidR="00073F03" w:rsidRPr="00073F03">
              <w:rPr>
                <w:sz w:val="22"/>
                <w:szCs w:val="22"/>
              </w:rPr>
              <w:t>.</w:t>
            </w:r>
          </w:p>
          <w:p w14:paraId="64CCC5C9" w14:textId="37262EAC" w:rsidR="00CA7E61" w:rsidRPr="00912C32" w:rsidRDefault="00912C32" w:rsidP="00912C32">
            <w:pPr>
              <w:pStyle w:val="ListParagraph"/>
              <w:numPr>
                <w:ilvl w:val="0"/>
                <w:numId w:val="7"/>
              </w:numPr>
              <w:rPr>
                <w:sz w:val="22"/>
                <w:szCs w:val="22"/>
              </w:rPr>
            </w:pPr>
            <w:r>
              <w:rPr>
                <w:bCs/>
                <w:sz w:val="22"/>
                <w:szCs w:val="22"/>
              </w:rPr>
              <w:t xml:space="preserve">The worksheet named ‘Task 2.3.3’ contains two graphs of the data in the form of Equation 4. One shows the two datasets individually and the other is a combined dataset.  </w:t>
            </w:r>
            <w:r w:rsidR="00327B46" w:rsidRPr="00912C32">
              <w:rPr>
                <w:bCs/>
                <w:sz w:val="22"/>
                <w:szCs w:val="22"/>
              </w:rPr>
              <w:t xml:space="preserve">Use the ‘Add Trendline’ function in Excel to estimate the cementation exponent in Archie’s Law for the two </w:t>
            </w:r>
            <w:r w:rsidRPr="00912C32">
              <w:rPr>
                <w:bCs/>
                <w:sz w:val="22"/>
                <w:szCs w:val="22"/>
              </w:rPr>
              <w:t xml:space="preserve">datasets separately </w:t>
            </w:r>
            <w:r w:rsidR="005F442D">
              <w:rPr>
                <w:bCs/>
                <w:sz w:val="22"/>
                <w:szCs w:val="22"/>
              </w:rPr>
              <w:t>and also for the combined dataset.</w:t>
            </w:r>
          </w:p>
          <w:p w14:paraId="73E137B9" w14:textId="21E0E9F8" w:rsidR="00CA7E61" w:rsidRPr="005F442D" w:rsidRDefault="005F442D" w:rsidP="005F442D">
            <w:pPr>
              <w:pStyle w:val="ListParagraph"/>
              <w:numPr>
                <w:ilvl w:val="0"/>
                <w:numId w:val="7"/>
              </w:numPr>
              <w:rPr>
                <w:sz w:val="22"/>
                <w:szCs w:val="22"/>
              </w:rPr>
            </w:pPr>
            <w:r>
              <w:rPr>
                <w:sz w:val="22"/>
                <w:szCs w:val="22"/>
              </w:rPr>
              <w:t xml:space="preserve">Also record the coefficient of determination </w:t>
            </w:r>
            <w:r w:rsidR="00CF40B9">
              <w:rPr>
                <w:sz w:val="22"/>
                <w:szCs w:val="22"/>
              </w:rPr>
              <w:t>(R-squared value)</w:t>
            </w:r>
            <w:r>
              <w:rPr>
                <w:sz w:val="22"/>
                <w:szCs w:val="22"/>
              </w:rPr>
              <w:t xml:space="preserve"> </w:t>
            </w:r>
            <w:r w:rsidR="00D2491B">
              <w:rPr>
                <w:sz w:val="22"/>
                <w:szCs w:val="22"/>
              </w:rPr>
              <w:t>provided when using the ‘Add Trendline’ function for</w:t>
            </w:r>
            <w:r>
              <w:rPr>
                <w:sz w:val="22"/>
                <w:szCs w:val="22"/>
              </w:rPr>
              <w:t xml:space="preserve"> each case</w:t>
            </w:r>
          </w:p>
        </w:tc>
      </w:tr>
    </w:tbl>
    <w:p w14:paraId="0DABDA43" w14:textId="77777777" w:rsidR="00CA7E61" w:rsidRDefault="00CA7E61" w:rsidP="00FF6B55"/>
    <w:tbl>
      <w:tblPr>
        <w:tblStyle w:val="TableGrid"/>
        <w:tblW w:w="0" w:type="auto"/>
        <w:tblLook w:val="04A0" w:firstRow="1" w:lastRow="0" w:firstColumn="1" w:lastColumn="0" w:noHBand="0" w:noVBand="1"/>
      </w:tblPr>
      <w:tblGrid>
        <w:gridCol w:w="9350"/>
      </w:tblGrid>
      <w:tr w:rsidR="00834063" w14:paraId="56EE04DA" w14:textId="77777777" w:rsidTr="00834063">
        <w:tc>
          <w:tcPr>
            <w:tcW w:w="9576" w:type="dxa"/>
          </w:tcPr>
          <w:p w14:paraId="4CEBE56F" w14:textId="77777777" w:rsidR="00834063" w:rsidRPr="00834063" w:rsidRDefault="00834063" w:rsidP="00834063">
            <w:pPr>
              <w:rPr>
                <w:sz w:val="8"/>
                <w:szCs w:val="8"/>
              </w:rPr>
            </w:pPr>
          </w:p>
          <w:p w14:paraId="2ED06EA4" w14:textId="6F6C969A" w:rsidR="00834063" w:rsidRPr="00CA7E61" w:rsidRDefault="00834063" w:rsidP="00834063">
            <w:r>
              <w:t xml:space="preserve">Task </w:t>
            </w:r>
            <w:r w:rsidR="00D07268">
              <w:t>2.2.</w:t>
            </w:r>
            <w:r w:rsidR="00334C22">
              <w:t>4</w:t>
            </w:r>
            <w:r>
              <w:t xml:space="preserve">.  </w:t>
            </w:r>
            <w:r w:rsidR="00D07268">
              <w:t>Predictions</w:t>
            </w:r>
            <w:r w:rsidR="00A051F6">
              <w:t xml:space="preserve"> </w:t>
            </w:r>
            <w:r w:rsidR="00D07268">
              <w:t>based on quick calculations</w:t>
            </w:r>
          </w:p>
          <w:p w14:paraId="6110BACB" w14:textId="353BA5E2" w:rsidR="0042063A" w:rsidRPr="008E1919" w:rsidRDefault="0042063A" w:rsidP="008E1919">
            <w:pPr>
              <w:ind w:left="720" w:hanging="360"/>
              <w:rPr>
                <w:bCs/>
                <w:sz w:val="22"/>
                <w:szCs w:val="22"/>
              </w:rPr>
            </w:pPr>
            <w:r w:rsidRPr="0042063A">
              <w:rPr>
                <w:bCs/>
                <w:sz w:val="22"/>
                <w:szCs w:val="22"/>
              </w:rPr>
              <w:t>Based on the relationships you have developed in this module</w:t>
            </w:r>
            <w:r w:rsidR="008E1919">
              <w:rPr>
                <w:bCs/>
                <w:sz w:val="22"/>
                <w:szCs w:val="22"/>
              </w:rPr>
              <w:t xml:space="preserve"> complete the following calculations and record the answers in the worksheet named ‘Task 2.4.4’</w:t>
            </w:r>
            <w:r w:rsidRPr="0042063A">
              <w:rPr>
                <w:bCs/>
                <w:sz w:val="22"/>
                <w:szCs w:val="22"/>
              </w:rPr>
              <w:t xml:space="preserve">: </w:t>
            </w:r>
          </w:p>
          <w:p w14:paraId="5145E35E" w14:textId="3B43E4AC" w:rsidR="0030106D" w:rsidRPr="004E5466" w:rsidRDefault="004E5466" w:rsidP="0042063A">
            <w:pPr>
              <w:pStyle w:val="ListParagraph"/>
              <w:numPr>
                <w:ilvl w:val="0"/>
                <w:numId w:val="7"/>
              </w:numPr>
              <w:rPr>
                <w:sz w:val="22"/>
                <w:szCs w:val="22"/>
              </w:rPr>
            </w:pPr>
            <w:r>
              <w:rPr>
                <w:bCs/>
                <w:sz w:val="22"/>
                <w:szCs w:val="22"/>
              </w:rPr>
              <w:t>C</w:t>
            </w:r>
            <w:r w:rsidR="0042063A">
              <w:rPr>
                <w:bCs/>
                <w:sz w:val="22"/>
                <w:szCs w:val="22"/>
              </w:rPr>
              <w:t xml:space="preserve">alculate the porosity of the loamy soil G1 assuming that the cementation factor determined in Task 2.2.3 </w:t>
            </w:r>
            <w:r>
              <w:rPr>
                <w:bCs/>
                <w:sz w:val="22"/>
                <w:szCs w:val="22"/>
              </w:rPr>
              <w:t>is appropriate for this sample</w:t>
            </w:r>
          </w:p>
          <w:p w14:paraId="5161DBFF" w14:textId="707BB60C" w:rsidR="004E5466" w:rsidRDefault="004E5466" w:rsidP="00CA5A96">
            <w:pPr>
              <w:pStyle w:val="ListParagraph"/>
              <w:numPr>
                <w:ilvl w:val="0"/>
                <w:numId w:val="7"/>
              </w:numPr>
              <w:rPr>
                <w:sz w:val="22"/>
                <w:szCs w:val="22"/>
              </w:rPr>
            </w:pPr>
            <w:r>
              <w:rPr>
                <w:sz w:val="22"/>
                <w:szCs w:val="22"/>
              </w:rPr>
              <w:t>Predict the soil conductivity (</w:t>
            </w:r>
            <w:r w:rsidRPr="004E5466">
              <w:rPr>
                <w:rFonts w:ascii="Symbol" w:hAnsi="Symbol"/>
                <w:sz w:val="22"/>
                <w:szCs w:val="22"/>
              </w:rPr>
              <w:t>s</w:t>
            </w:r>
            <w:r w:rsidRPr="004E5466">
              <w:rPr>
                <w:sz w:val="22"/>
                <w:szCs w:val="22"/>
                <w:vertAlign w:val="subscript"/>
              </w:rPr>
              <w:t>soil</w:t>
            </w:r>
            <w:r>
              <w:rPr>
                <w:sz w:val="22"/>
                <w:szCs w:val="22"/>
              </w:rPr>
              <w:t xml:space="preserve">) for the loamy soil </w:t>
            </w:r>
            <w:r w:rsidR="00F066C1">
              <w:rPr>
                <w:sz w:val="22"/>
                <w:szCs w:val="22"/>
              </w:rPr>
              <w:t xml:space="preserve">G1 </w:t>
            </w:r>
            <w:r>
              <w:rPr>
                <w:sz w:val="22"/>
                <w:szCs w:val="22"/>
              </w:rPr>
              <w:t>when the fluid conductivity (</w:t>
            </w:r>
            <w:r w:rsidRPr="004E5466">
              <w:rPr>
                <w:rFonts w:ascii="Symbol" w:hAnsi="Symbol"/>
                <w:sz w:val="22"/>
                <w:szCs w:val="22"/>
              </w:rPr>
              <w:t>s</w:t>
            </w:r>
            <w:r w:rsidRPr="004E5466">
              <w:rPr>
                <w:sz w:val="22"/>
                <w:szCs w:val="22"/>
                <w:vertAlign w:val="subscript"/>
              </w:rPr>
              <w:t>w</w:t>
            </w:r>
            <w:r>
              <w:rPr>
                <w:sz w:val="22"/>
                <w:szCs w:val="22"/>
              </w:rPr>
              <w:t>) is 10</w:t>
            </w:r>
            <w:r w:rsidRPr="00CA5A96">
              <w:rPr>
                <w:sz w:val="22"/>
                <w:szCs w:val="22"/>
              </w:rPr>
              <w:t>0 mS/m</w:t>
            </w:r>
            <w:r w:rsidR="00187249">
              <w:rPr>
                <w:sz w:val="22"/>
                <w:szCs w:val="22"/>
              </w:rPr>
              <w:t xml:space="preserve"> (typical of fresh groundwater)</w:t>
            </w:r>
            <w:r w:rsidR="00CA5A96">
              <w:rPr>
                <w:sz w:val="22"/>
                <w:szCs w:val="22"/>
              </w:rPr>
              <w:t xml:space="preserve">. </w:t>
            </w:r>
            <w:r w:rsidRPr="00CA5A96">
              <w:rPr>
                <w:sz w:val="22"/>
                <w:szCs w:val="22"/>
              </w:rPr>
              <w:t>Perform the same prediction but assuming that surface conductivity can be ign</w:t>
            </w:r>
            <w:r w:rsidR="00293974" w:rsidRPr="00CA5A96">
              <w:rPr>
                <w:sz w:val="22"/>
                <w:szCs w:val="22"/>
              </w:rPr>
              <w:t>or</w:t>
            </w:r>
            <w:r w:rsidRPr="00CA5A96">
              <w:rPr>
                <w:sz w:val="22"/>
                <w:szCs w:val="22"/>
              </w:rPr>
              <w:t>ed.</w:t>
            </w:r>
          </w:p>
          <w:p w14:paraId="024F8CD7" w14:textId="04AE3DFF" w:rsidR="00CA5A96" w:rsidRPr="00187249" w:rsidRDefault="00CA5A96" w:rsidP="00187249">
            <w:pPr>
              <w:pStyle w:val="ListParagraph"/>
              <w:numPr>
                <w:ilvl w:val="0"/>
                <w:numId w:val="7"/>
              </w:numPr>
              <w:rPr>
                <w:sz w:val="22"/>
                <w:szCs w:val="22"/>
              </w:rPr>
            </w:pPr>
            <w:r>
              <w:rPr>
                <w:sz w:val="22"/>
                <w:szCs w:val="22"/>
              </w:rPr>
              <w:t>Predict the soil conductivity (</w:t>
            </w:r>
            <w:r w:rsidRPr="004E5466">
              <w:rPr>
                <w:rFonts w:ascii="Symbol" w:hAnsi="Symbol"/>
                <w:sz w:val="22"/>
                <w:szCs w:val="22"/>
              </w:rPr>
              <w:t>s</w:t>
            </w:r>
            <w:r w:rsidRPr="004E5466">
              <w:rPr>
                <w:sz w:val="22"/>
                <w:szCs w:val="22"/>
                <w:vertAlign w:val="subscript"/>
              </w:rPr>
              <w:t>soil</w:t>
            </w:r>
            <w:r>
              <w:rPr>
                <w:sz w:val="22"/>
                <w:szCs w:val="22"/>
              </w:rPr>
              <w:t xml:space="preserve">) for the </w:t>
            </w:r>
            <w:r w:rsidR="00187249">
              <w:rPr>
                <w:sz w:val="22"/>
                <w:szCs w:val="22"/>
              </w:rPr>
              <w:t>shaly sandstone B49/2</w:t>
            </w:r>
            <w:r>
              <w:rPr>
                <w:sz w:val="22"/>
                <w:szCs w:val="22"/>
              </w:rPr>
              <w:t xml:space="preserve"> when the fluid conductivity (</w:t>
            </w:r>
            <w:r w:rsidRPr="004E5466">
              <w:rPr>
                <w:rFonts w:ascii="Symbol" w:hAnsi="Symbol"/>
                <w:sz w:val="22"/>
                <w:szCs w:val="22"/>
              </w:rPr>
              <w:t>s</w:t>
            </w:r>
            <w:r w:rsidRPr="004E5466">
              <w:rPr>
                <w:sz w:val="22"/>
                <w:szCs w:val="22"/>
                <w:vertAlign w:val="subscript"/>
              </w:rPr>
              <w:t>w</w:t>
            </w:r>
            <w:r>
              <w:rPr>
                <w:sz w:val="22"/>
                <w:szCs w:val="22"/>
              </w:rPr>
              <w:t>) is 10</w:t>
            </w:r>
            <w:r w:rsidRPr="00CA5A96">
              <w:rPr>
                <w:sz w:val="22"/>
                <w:szCs w:val="22"/>
              </w:rPr>
              <w:t>0 mS/m</w:t>
            </w:r>
            <w:r w:rsidR="00187249">
              <w:rPr>
                <w:sz w:val="22"/>
                <w:szCs w:val="22"/>
              </w:rPr>
              <w:t xml:space="preserve"> (typical of fresh groundwater)</w:t>
            </w:r>
            <w:r>
              <w:rPr>
                <w:sz w:val="22"/>
                <w:szCs w:val="22"/>
              </w:rPr>
              <w:t xml:space="preserve">. </w:t>
            </w:r>
            <w:r w:rsidRPr="00CA5A96">
              <w:rPr>
                <w:sz w:val="22"/>
                <w:szCs w:val="22"/>
              </w:rPr>
              <w:t>Perform the same prediction but assuming that surface conductivity can be ignored.</w:t>
            </w:r>
            <w:r w:rsidR="000A1373">
              <w:rPr>
                <w:sz w:val="22"/>
                <w:szCs w:val="22"/>
              </w:rPr>
              <w:t xml:space="preserve"> You will need to consider the importance of the surface conductivity, along with the implications of assuming it can be ignored, when completing the </w:t>
            </w:r>
            <w:r w:rsidR="00E322A2">
              <w:rPr>
                <w:bCs/>
                <w:sz w:val="22"/>
                <w:szCs w:val="22"/>
              </w:rPr>
              <w:t>worksheet</w:t>
            </w:r>
            <w:r w:rsidR="00E322A2">
              <w:rPr>
                <w:sz w:val="22"/>
                <w:szCs w:val="22"/>
              </w:rPr>
              <w:t xml:space="preserve"> </w:t>
            </w:r>
            <w:r w:rsidR="000A1373">
              <w:rPr>
                <w:sz w:val="22"/>
                <w:szCs w:val="22"/>
              </w:rPr>
              <w:t>for this module.</w:t>
            </w:r>
          </w:p>
          <w:p w14:paraId="2F07BD18" w14:textId="175CAF4F" w:rsidR="00CA7E61" w:rsidRPr="00CA7E61" w:rsidRDefault="00CA7E61" w:rsidP="00CA7E61">
            <w:pPr>
              <w:pStyle w:val="ListParagraph"/>
              <w:numPr>
                <w:ilvl w:val="0"/>
                <w:numId w:val="0"/>
              </w:numPr>
              <w:ind w:left="720"/>
              <w:rPr>
                <w:sz w:val="22"/>
                <w:szCs w:val="22"/>
              </w:rPr>
            </w:pPr>
          </w:p>
        </w:tc>
      </w:tr>
    </w:tbl>
    <w:p w14:paraId="7FAB99E4" w14:textId="37FCC319" w:rsidR="00494EAD" w:rsidRDefault="00494EAD" w:rsidP="009B18C3">
      <w:pPr>
        <w:rPr>
          <w:sz w:val="22"/>
          <w:szCs w:val="22"/>
        </w:rPr>
      </w:pPr>
    </w:p>
    <w:tbl>
      <w:tblPr>
        <w:tblStyle w:val="TableGrid"/>
        <w:tblW w:w="0" w:type="auto"/>
        <w:tblLook w:val="04A0" w:firstRow="1" w:lastRow="0" w:firstColumn="1" w:lastColumn="0" w:noHBand="0" w:noVBand="1"/>
      </w:tblPr>
      <w:tblGrid>
        <w:gridCol w:w="9350"/>
      </w:tblGrid>
      <w:tr w:rsidR="00E82C1B" w14:paraId="2B484E2B" w14:textId="77777777" w:rsidTr="00726AA0">
        <w:tc>
          <w:tcPr>
            <w:tcW w:w="9576" w:type="dxa"/>
          </w:tcPr>
          <w:p w14:paraId="71CC8997" w14:textId="77777777" w:rsidR="00E82C1B" w:rsidRPr="00834063" w:rsidRDefault="00E82C1B" w:rsidP="00726AA0">
            <w:pPr>
              <w:rPr>
                <w:sz w:val="8"/>
                <w:szCs w:val="8"/>
              </w:rPr>
            </w:pPr>
          </w:p>
          <w:p w14:paraId="4EC75460" w14:textId="0EDEBCE7" w:rsidR="00E82C1B" w:rsidRPr="00CA7E61" w:rsidRDefault="00E82C1B" w:rsidP="00726AA0">
            <w:r>
              <w:t>Task 2.2.5.  Using electrical properties of soils to infer contamination in marsh soils</w:t>
            </w:r>
          </w:p>
          <w:p w14:paraId="4A44E54F" w14:textId="07605835" w:rsidR="00E82C1B" w:rsidRPr="00494EAD" w:rsidRDefault="00E82C1B" w:rsidP="00E82C1B">
            <w:pPr>
              <w:pStyle w:val="ListParagraph"/>
              <w:numPr>
                <w:ilvl w:val="0"/>
                <w:numId w:val="7"/>
              </w:numPr>
              <w:rPr>
                <w:sz w:val="22"/>
                <w:szCs w:val="22"/>
              </w:rPr>
            </w:pPr>
            <w:r>
              <w:rPr>
                <w:sz w:val="22"/>
                <w:szCs w:val="22"/>
              </w:rPr>
              <w:lastRenderedPageBreak/>
              <w:t>View the short, narrated set of slides on the geophysical survey performed on Kearny freshwater marsh</w:t>
            </w:r>
          </w:p>
          <w:p w14:paraId="501DEC1A" w14:textId="5E11D1FB" w:rsidR="00E82C1B" w:rsidRPr="00E82C1B" w:rsidRDefault="00E82C1B" w:rsidP="00E82C1B">
            <w:pPr>
              <w:pStyle w:val="ListParagraph"/>
              <w:numPr>
                <w:ilvl w:val="0"/>
                <w:numId w:val="7"/>
              </w:numPr>
              <w:rPr>
                <w:b/>
                <w:bCs/>
                <w:sz w:val="22"/>
                <w:szCs w:val="22"/>
              </w:rPr>
            </w:pPr>
            <w:r>
              <w:rPr>
                <w:bCs/>
                <w:sz w:val="22"/>
                <w:szCs w:val="22"/>
              </w:rPr>
              <w:t xml:space="preserve">You will use this tutorial to answer the questions in Section 2.2.5 of the student </w:t>
            </w:r>
            <w:r w:rsidR="00E322A2">
              <w:rPr>
                <w:bCs/>
                <w:sz w:val="22"/>
                <w:szCs w:val="22"/>
              </w:rPr>
              <w:t>worksheet</w:t>
            </w:r>
            <w:r w:rsidRPr="00E82C1B">
              <w:rPr>
                <w:bCs/>
                <w:sz w:val="22"/>
                <w:szCs w:val="22"/>
              </w:rPr>
              <w:t>.</w:t>
            </w:r>
          </w:p>
          <w:p w14:paraId="30759E57" w14:textId="77777777" w:rsidR="00E82C1B" w:rsidRPr="00CA7E61" w:rsidRDefault="00E82C1B" w:rsidP="00726AA0">
            <w:pPr>
              <w:pStyle w:val="ListParagraph"/>
              <w:numPr>
                <w:ilvl w:val="0"/>
                <w:numId w:val="0"/>
              </w:numPr>
              <w:ind w:left="720"/>
              <w:rPr>
                <w:sz w:val="22"/>
                <w:szCs w:val="22"/>
              </w:rPr>
            </w:pPr>
          </w:p>
        </w:tc>
      </w:tr>
    </w:tbl>
    <w:p w14:paraId="76D55937" w14:textId="77777777" w:rsidR="00E82C1B" w:rsidRPr="009B18C3" w:rsidRDefault="00E82C1B" w:rsidP="009B18C3">
      <w:pPr>
        <w:rPr>
          <w:sz w:val="22"/>
          <w:szCs w:val="22"/>
        </w:rPr>
      </w:pPr>
    </w:p>
    <w:p w14:paraId="199E0543" w14:textId="2FC5B4B1" w:rsidR="00107DF0" w:rsidRPr="002E39CF" w:rsidRDefault="00FF6B55" w:rsidP="002E39CF">
      <w:pPr>
        <w:pStyle w:val="Heading1"/>
        <w:rPr>
          <w:w w:val="110"/>
        </w:rPr>
      </w:pPr>
      <w:r>
        <w:rPr>
          <w:w w:val="110"/>
        </w:rPr>
        <w:t>1</w:t>
      </w:r>
      <w:r w:rsidR="00083F5A">
        <w:rPr>
          <w:w w:val="110"/>
        </w:rPr>
        <w:t xml:space="preserve">.3 </w:t>
      </w:r>
      <w:r w:rsidR="00D87C29">
        <w:rPr>
          <w:w w:val="110"/>
        </w:rPr>
        <w:t>Assessment</w:t>
      </w:r>
    </w:p>
    <w:tbl>
      <w:tblPr>
        <w:tblStyle w:val="TableGrid"/>
        <w:tblW w:w="0" w:type="auto"/>
        <w:tblLook w:val="04A0" w:firstRow="1" w:lastRow="0" w:firstColumn="1" w:lastColumn="0" w:noHBand="0" w:noVBand="1"/>
      </w:tblPr>
      <w:tblGrid>
        <w:gridCol w:w="9350"/>
      </w:tblGrid>
      <w:tr w:rsidR="000B4146" w14:paraId="4BB836DA" w14:textId="77777777" w:rsidTr="000B4146">
        <w:tc>
          <w:tcPr>
            <w:tcW w:w="9576" w:type="dxa"/>
          </w:tcPr>
          <w:p w14:paraId="7FA93AC1" w14:textId="3BE6BB86" w:rsidR="000B4146" w:rsidRPr="000B4146" w:rsidRDefault="000B4146" w:rsidP="00083F5A">
            <w:pPr>
              <w:rPr>
                <w:sz w:val="8"/>
                <w:szCs w:val="8"/>
              </w:rPr>
            </w:pPr>
          </w:p>
          <w:p w14:paraId="7A26019D" w14:textId="738C884F" w:rsidR="000B4146" w:rsidRDefault="00D87C29" w:rsidP="00083F5A">
            <w:r>
              <w:t xml:space="preserve">Complete </w:t>
            </w:r>
            <w:r w:rsidRPr="00E322A2">
              <w:t xml:space="preserve">the </w:t>
            </w:r>
            <w:r w:rsidR="00E322A2" w:rsidRPr="00E322A2">
              <w:rPr>
                <w:bCs/>
              </w:rPr>
              <w:t>worksheet</w:t>
            </w:r>
            <w:r w:rsidR="00E322A2">
              <w:t xml:space="preserve"> </w:t>
            </w:r>
            <w:r w:rsidR="000E49E2">
              <w:t>provided with this module.</w:t>
            </w:r>
            <w:r w:rsidR="000B4146">
              <w:t xml:space="preserve"> </w:t>
            </w:r>
          </w:p>
          <w:p w14:paraId="32A97022" w14:textId="2503032C" w:rsidR="000B4146" w:rsidRDefault="000B4146" w:rsidP="00083F5A">
            <w:pPr>
              <w:rPr>
                <w:sz w:val="8"/>
                <w:szCs w:val="8"/>
              </w:rPr>
            </w:pPr>
            <w:r w:rsidRPr="000B4146">
              <w:t xml:space="preserve">The grading rubric below </w:t>
            </w:r>
            <w:r w:rsidR="00E55EDA">
              <w:t xml:space="preserve">will be used to </w:t>
            </w:r>
            <w:r w:rsidR="00A3604A">
              <w:t>grade the module</w:t>
            </w:r>
            <w:r w:rsidRPr="000B4146">
              <w:t xml:space="preserve">. </w:t>
            </w:r>
          </w:p>
          <w:p w14:paraId="1E76B987" w14:textId="477A1CA3" w:rsidR="000B4146" w:rsidRPr="000B4146" w:rsidRDefault="000B4146" w:rsidP="00083F5A">
            <w:pPr>
              <w:rPr>
                <w:sz w:val="8"/>
                <w:szCs w:val="8"/>
              </w:rPr>
            </w:pPr>
          </w:p>
        </w:tc>
      </w:tr>
    </w:tbl>
    <w:p w14:paraId="661CACF8" w14:textId="77777777" w:rsidR="00307C9D" w:rsidRPr="009179F1" w:rsidRDefault="00307C9D" w:rsidP="00083F5A"/>
    <w:tbl>
      <w:tblPr>
        <w:tblStyle w:val="TableGrid"/>
        <w:tblpPr w:leftFromText="187" w:rightFromText="187" w:vertAnchor="text" w:horzAnchor="page" w:tblpX="1587" w:tblpY="1"/>
        <w:tblW w:w="9378" w:type="dxa"/>
        <w:tblLayout w:type="fixed"/>
        <w:tblLook w:val="04A0" w:firstRow="1" w:lastRow="0" w:firstColumn="1" w:lastColumn="0" w:noHBand="0" w:noVBand="1"/>
        <w:tblCaption w:val="Unit 1 project report rubric"/>
      </w:tblPr>
      <w:tblGrid>
        <w:gridCol w:w="1705"/>
        <w:gridCol w:w="2513"/>
        <w:gridCol w:w="2580"/>
        <w:gridCol w:w="2580"/>
      </w:tblGrid>
      <w:tr w:rsidR="00661289" w14:paraId="5BA184FF" w14:textId="77777777" w:rsidTr="00B33653">
        <w:trPr>
          <w:trHeight w:val="350"/>
        </w:trPr>
        <w:tc>
          <w:tcPr>
            <w:tcW w:w="1705" w:type="dxa"/>
          </w:tcPr>
          <w:p w14:paraId="04A66CF5" w14:textId="5E782106" w:rsidR="00661289" w:rsidRPr="00661289" w:rsidRDefault="00661289" w:rsidP="00FF6B55">
            <w:pPr>
              <w:rPr>
                <w:rFonts w:ascii="Arial" w:hAnsi="Arial" w:cs="Arial"/>
                <w:b/>
                <w:spacing w:val="2"/>
                <w:w w:val="105"/>
                <w:sz w:val="20"/>
                <w:szCs w:val="20"/>
              </w:rPr>
            </w:pPr>
            <w:r w:rsidRPr="00661289">
              <w:rPr>
                <w:rFonts w:ascii="Arial" w:hAnsi="Arial" w:cs="Arial"/>
                <w:b/>
                <w:spacing w:val="2"/>
                <w:w w:val="105"/>
                <w:sz w:val="20"/>
                <w:szCs w:val="20"/>
              </w:rPr>
              <w:t>Component</w:t>
            </w:r>
          </w:p>
        </w:tc>
        <w:tc>
          <w:tcPr>
            <w:tcW w:w="2513" w:type="dxa"/>
          </w:tcPr>
          <w:p w14:paraId="7FAEB2B0" w14:textId="4197BCB8" w:rsidR="00661289" w:rsidRPr="00661289" w:rsidRDefault="00661289" w:rsidP="00FF6B55">
            <w:pPr>
              <w:rPr>
                <w:rFonts w:ascii="Arial" w:hAnsi="Arial" w:cs="Arial"/>
                <w:b/>
                <w:w w:val="105"/>
                <w:sz w:val="20"/>
                <w:szCs w:val="20"/>
              </w:rPr>
            </w:pPr>
            <w:r w:rsidRPr="00661289">
              <w:rPr>
                <w:rFonts w:ascii="Arial" w:hAnsi="Arial" w:cs="Arial"/>
                <w:b/>
                <w:w w:val="105"/>
                <w:sz w:val="20"/>
                <w:szCs w:val="20"/>
              </w:rPr>
              <w:t>Exemplary</w:t>
            </w:r>
          </w:p>
        </w:tc>
        <w:tc>
          <w:tcPr>
            <w:tcW w:w="2580" w:type="dxa"/>
          </w:tcPr>
          <w:p w14:paraId="6C0A1946" w14:textId="6EA48848" w:rsidR="00661289" w:rsidRPr="00661289" w:rsidRDefault="00661289" w:rsidP="00FF6B55">
            <w:pPr>
              <w:rPr>
                <w:rFonts w:ascii="Arial" w:hAnsi="Arial" w:cs="Arial"/>
                <w:b/>
                <w:spacing w:val="1"/>
                <w:w w:val="105"/>
                <w:sz w:val="20"/>
                <w:szCs w:val="20"/>
              </w:rPr>
            </w:pPr>
            <w:r>
              <w:rPr>
                <w:rFonts w:ascii="Arial" w:hAnsi="Arial" w:cs="Arial"/>
                <w:b/>
                <w:spacing w:val="1"/>
                <w:w w:val="105"/>
                <w:sz w:val="20"/>
                <w:szCs w:val="20"/>
              </w:rPr>
              <w:t>Basic</w:t>
            </w:r>
          </w:p>
        </w:tc>
        <w:tc>
          <w:tcPr>
            <w:tcW w:w="2580" w:type="dxa"/>
          </w:tcPr>
          <w:p w14:paraId="5A787EB3" w14:textId="4C41DD7F" w:rsidR="00661289" w:rsidRPr="00661289" w:rsidRDefault="00661289" w:rsidP="00FF6B55">
            <w:pPr>
              <w:rPr>
                <w:rFonts w:ascii="Arial" w:hAnsi="Arial" w:cs="Arial"/>
                <w:b/>
                <w:spacing w:val="-1"/>
                <w:w w:val="105"/>
                <w:sz w:val="20"/>
                <w:szCs w:val="20"/>
              </w:rPr>
            </w:pPr>
            <w:r>
              <w:rPr>
                <w:rFonts w:ascii="Arial" w:hAnsi="Arial" w:cs="Arial"/>
                <w:b/>
                <w:spacing w:val="-1"/>
                <w:w w:val="105"/>
                <w:sz w:val="20"/>
                <w:szCs w:val="20"/>
              </w:rPr>
              <w:t>Nonperformance</w:t>
            </w:r>
          </w:p>
        </w:tc>
      </w:tr>
      <w:tr w:rsidR="00FF6B55" w14:paraId="1C7E21D8" w14:textId="77777777" w:rsidTr="00B33653">
        <w:trPr>
          <w:trHeight w:val="1790"/>
        </w:trPr>
        <w:tc>
          <w:tcPr>
            <w:tcW w:w="1705" w:type="dxa"/>
          </w:tcPr>
          <w:p w14:paraId="01447D2C" w14:textId="4A75FA9E" w:rsidR="00FF6B55" w:rsidRPr="004A54EF" w:rsidRDefault="009D7AE4" w:rsidP="00FF6B55">
            <w:pPr>
              <w:rPr>
                <w:rFonts w:ascii="Arial" w:eastAsia="Times New Roman" w:hAnsi="Arial" w:cs="Arial"/>
                <w:sz w:val="20"/>
                <w:szCs w:val="20"/>
              </w:rPr>
            </w:pPr>
            <w:r>
              <w:rPr>
                <w:rFonts w:ascii="Arial" w:hAnsi="Arial" w:cs="Arial"/>
                <w:spacing w:val="2"/>
                <w:w w:val="105"/>
                <w:sz w:val="20"/>
                <w:szCs w:val="20"/>
              </w:rPr>
              <w:t xml:space="preserve">Section </w:t>
            </w:r>
            <w:r w:rsidR="00105570">
              <w:rPr>
                <w:rFonts w:ascii="Arial" w:hAnsi="Arial" w:cs="Arial"/>
                <w:spacing w:val="2"/>
                <w:w w:val="105"/>
                <w:sz w:val="20"/>
                <w:szCs w:val="20"/>
              </w:rPr>
              <w:t>2.2</w:t>
            </w:r>
            <w:r>
              <w:rPr>
                <w:rFonts w:ascii="Arial" w:hAnsi="Arial" w:cs="Arial"/>
                <w:spacing w:val="2"/>
                <w:w w:val="105"/>
                <w:sz w:val="20"/>
                <w:szCs w:val="20"/>
              </w:rPr>
              <w:t>.1</w:t>
            </w:r>
          </w:p>
          <w:p w14:paraId="3B82A7DF" w14:textId="77777777" w:rsidR="00FF6B55" w:rsidRPr="004A54EF" w:rsidRDefault="00FF6B55" w:rsidP="00FF6B55">
            <w:pPr>
              <w:rPr>
                <w:rFonts w:ascii="Arial" w:eastAsia="Times New Roman" w:hAnsi="Arial" w:cs="Arial"/>
                <w:bCs/>
                <w:sz w:val="20"/>
                <w:szCs w:val="20"/>
              </w:rPr>
            </w:pPr>
          </w:p>
        </w:tc>
        <w:tc>
          <w:tcPr>
            <w:tcW w:w="2513" w:type="dxa"/>
          </w:tcPr>
          <w:p w14:paraId="1E6EFA45" w14:textId="77777777" w:rsidR="00FF6B55" w:rsidRPr="004A54EF" w:rsidRDefault="00FF6B55" w:rsidP="00FF6B55">
            <w:pPr>
              <w:rPr>
                <w:rFonts w:ascii="Arial" w:eastAsia="Times New Roman" w:hAnsi="Arial" w:cs="Arial"/>
                <w:sz w:val="20"/>
                <w:szCs w:val="20"/>
              </w:rPr>
            </w:pPr>
            <w:r w:rsidRPr="004A54EF">
              <w:rPr>
                <w:rFonts w:ascii="Arial" w:hAnsi="Arial" w:cs="Arial"/>
                <w:w w:val="105"/>
                <w:sz w:val="20"/>
                <w:szCs w:val="20"/>
              </w:rPr>
              <w:t>4</w:t>
            </w:r>
            <w:r w:rsidRPr="004A54EF">
              <w:rPr>
                <w:rFonts w:ascii="Arial" w:hAnsi="Arial" w:cs="Arial"/>
                <w:spacing w:val="-16"/>
                <w:w w:val="105"/>
                <w:sz w:val="20"/>
                <w:szCs w:val="20"/>
              </w:rPr>
              <w:t xml:space="preserve"> </w:t>
            </w:r>
            <w:r w:rsidRPr="004A54EF">
              <w:rPr>
                <w:rFonts w:ascii="Arial" w:hAnsi="Arial" w:cs="Arial"/>
                <w:spacing w:val="2"/>
                <w:w w:val="105"/>
                <w:sz w:val="20"/>
                <w:szCs w:val="20"/>
              </w:rPr>
              <w:t>p</w:t>
            </w:r>
            <w:r w:rsidRPr="004A54EF">
              <w:rPr>
                <w:rFonts w:ascii="Arial" w:hAnsi="Arial" w:cs="Arial"/>
                <w:spacing w:val="1"/>
                <w:w w:val="105"/>
                <w:sz w:val="20"/>
                <w:szCs w:val="20"/>
              </w:rPr>
              <w:t>o</w:t>
            </w:r>
            <w:r w:rsidRPr="004A54EF">
              <w:rPr>
                <w:rFonts w:ascii="Arial" w:hAnsi="Arial" w:cs="Arial"/>
                <w:spacing w:val="9"/>
                <w:w w:val="105"/>
                <w:sz w:val="20"/>
                <w:szCs w:val="20"/>
              </w:rPr>
              <w:t>i</w:t>
            </w:r>
            <w:r w:rsidRPr="004A54EF">
              <w:rPr>
                <w:rFonts w:ascii="Arial" w:hAnsi="Arial" w:cs="Arial"/>
                <w:spacing w:val="2"/>
                <w:w w:val="105"/>
                <w:sz w:val="20"/>
                <w:szCs w:val="20"/>
              </w:rPr>
              <w:t>n</w:t>
            </w:r>
            <w:r w:rsidRPr="004A54EF">
              <w:rPr>
                <w:rFonts w:ascii="Arial" w:hAnsi="Arial" w:cs="Arial"/>
                <w:spacing w:val="-9"/>
                <w:w w:val="105"/>
                <w:sz w:val="20"/>
                <w:szCs w:val="20"/>
              </w:rPr>
              <w:t>t</w:t>
            </w:r>
            <w:r w:rsidRPr="004A54EF">
              <w:rPr>
                <w:rFonts w:ascii="Arial" w:hAnsi="Arial" w:cs="Arial"/>
                <w:w w:val="105"/>
                <w:sz w:val="20"/>
                <w:szCs w:val="20"/>
              </w:rPr>
              <w:t>s:</w:t>
            </w:r>
          </w:p>
          <w:p w14:paraId="2283E95B" w14:textId="0C77E3A7" w:rsidR="00FF6B55" w:rsidRPr="00B73DD9" w:rsidRDefault="00450C50" w:rsidP="00FF6B55">
            <w:pPr>
              <w:rPr>
                <w:rFonts w:ascii="Arial" w:hAnsi="Arial" w:cs="Arial"/>
                <w:spacing w:val="26"/>
                <w:w w:val="130"/>
                <w:sz w:val="20"/>
                <w:szCs w:val="20"/>
              </w:rPr>
            </w:pPr>
            <w:r>
              <w:rPr>
                <w:rFonts w:ascii="Arial" w:hAnsi="Arial" w:cs="Arial"/>
                <w:w w:val="105"/>
                <w:sz w:val="20"/>
                <w:szCs w:val="20"/>
              </w:rPr>
              <w:t>All four questions correctly answered showing full comprehension of video</w:t>
            </w:r>
          </w:p>
          <w:p w14:paraId="399C1C0E" w14:textId="77777777" w:rsidR="00FF6B55" w:rsidRPr="004A54EF" w:rsidRDefault="00FF6B55" w:rsidP="00FF6B55">
            <w:pPr>
              <w:rPr>
                <w:rFonts w:ascii="Arial" w:eastAsia="Times New Roman" w:hAnsi="Arial" w:cs="Arial"/>
                <w:bCs/>
                <w:sz w:val="20"/>
                <w:szCs w:val="20"/>
              </w:rPr>
            </w:pPr>
          </w:p>
        </w:tc>
        <w:tc>
          <w:tcPr>
            <w:tcW w:w="2580" w:type="dxa"/>
          </w:tcPr>
          <w:p w14:paraId="34ED1051" w14:textId="5AB0BBB1" w:rsidR="00FF6B55" w:rsidRPr="004A54EF" w:rsidRDefault="00FF6B55" w:rsidP="00FF6B55">
            <w:pPr>
              <w:rPr>
                <w:rFonts w:ascii="Arial" w:hAnsi="Arial" w:cs="Arial"/>
                <w:w w:val="84"/>
                <w:sz w:val="20"/>
                <w:szCs w:val="20"/>
              </w:rPr>
            </w:pPr>
            <w:r w:rsidRPr="004A54EF">
              <w:rPr>
                <w:rFonts w:ascii="Arial" w:hAnsi="Arial" w:cs="Arial"/>
                <w:spacing w:val="1"/>
                <w:w w:val="105"/>
                <w:sz w:val="20"/>
                <w:szCs w:val="20"/>
              </w:rPr>
              <w:t>2</w:t>
            </w:r>
            <w:r w:rsidR="005C2C57">
              <w:rPr>
                <w:rFonts w:ascii="Arial" w:hAnsi="Arial" w:cs="Arial"/>
                <w:spacing w:val="-6"/>
                <w:w w:val="105"/>
                <w:sz w:val="20"/>
                <w:szCs w:val="20"/>
              </w:rPr>
              <w:t>–</w:t>
            </w:r>
            <w:r w:rsidRPr="004A54EF">
              <w:rPr>
                <w:rFonts w:ascii="Arial" w:hAnsi="Arial" w:cs="Arial"/>
                <w:w w:val="105"/>
                <w:sz w:val="20"/>
                <w:szCs w:val="20"/>
              </w:rPr>
              <w:t>3</w:t>
            </w:r>
            <w:r w:rsidRPr="004A54EF">
              <w:rPr>
                <w:rFonts w:ascii="Arial" w:hAnsi="Arial" w:cs="Arial"/>
                <w:spacing w:val="-7"/>
                <w:w w:val="105"/>
                <w:sz w:val="20"/>
                <w:szCs w:val="20"/>
              </w:rPr>
              <w:t xml:space="preserve"> </w:t>
            </w:r>
            <w:r w:rsidRPr="004A54EF">
              <w:rPr>
                <w:rFonts w:ascii="Arial" w:hAnsi="Arial" w:cs="Arial"/>
                <w:spacing w:val="2"/>
                <w:w w:val="105"/>
                <w:sz w:val="20"/>
                <w:szCs w:val="20"/>
              </w:rPr>
              <w:t>p</w:t>
            </w:r>
            <w:r w:rsidRPr="004A54EF">
              <w:rPr>
                <w:rFonts w:ascii="Arial" w:hAnsi="Arial" w:cs="Arial"/>
                <w:spacing w:val="1"/>
                <w:w w:val="105"/>
                <w:sz w:val="20"/>
                <w:szCs w:val="20"/>
              </w:rPr>
              <w:t>o</w:t>
            </w:r>
            <w:r w:rsidRPr="004A54EF">
              <w:rPr>
                <w:rFonts w:ascii="Arial" w:hAnsi="Arial" w:cs="Arial"/>
                <w:spacing w:val="9"/>
                <w:w w:val="105"/>
                <w:sz w:val="20"/>
                <w:szCs w:val="20"/>
              </w:rPr>
              <w:t>i</w:t>
            </w:r>
            <w:r w:rsidRPr="004A54EF">
              <w:rPr>
                <w:rFonts w:ascii="Arial" w:hAnsi="Arial" w:cs="Arial"/>
                <w:spacing w:val="2"/>
                <w:w w:val="105"/>
                <w:sz w:val="20"/>
                <w:szCs w:val="20"/>
              </w:rPr>
              <w:t>n</w:t>
            </w:r>
            <w:r w:rsidRPr="004A54EF">
              <w:rPr>
                <w:rFonts w:ascii="Arial" w:hAnsi="Arial" w:cs="Arial"/>
                <w:spacing w:val="-9"/>
                <w:w w:val="105"/>
                <w:sz w:val="20"/>
                <w:szCs w:val="20"/>
              </w:rPr>
              <w:t>t</w:t>
            </w:r>
            <w:r w:rsidRPr="004A54EF">
              <w:rPr>
                <w:rFonts w:ascii="Arial" w:hAnsi="Arial" w:cs="Arial"/>
                <w:w w:val="105"/>
                <w:sz w:val="20"/>
                <w:szCs w:val="20"/>
              </w:rPr>
              <w:t>s:</w:t>
            </w:r>
          </w:p>
          <w:p w14:paraId="0597B4FE" w14:textId="1BDFBD12" w:rsidR="00FF6B55" w:rsidRPr="00B73DD9" w:rsidRDefault="00450C50" w:rsidP="00FF6B55">
            <w:pPr>
              <w:rPr>
                <w:rFonts w:ascii="Arial" w:eastAsia="Times New Roman" w:hAnsi="Arial" w:cs="Arial"/>
                <w:sz w:val="20"/>
                <w:szCs w:val="20"/>
              </w:rPr>
            </w:pPr>
            <w:r>
              <w:rPr>
                <w:rFonts w:ascii="Arial" w:hAnsi="Arial" w:cs="Arial"/>
                <w:sz w:val="20"/>
                <w:szCs w:val="20"/>
              </w:rPr>
              <w:t>Two-three questions correctly answered showing some comprehension of video</w:t>
            </w:r>
          </w:p>
          <w:p w14:paraId="28072547" w14:textId="77777777" w:rsidR="00FF6B55" w:rsidRPr="004A54EF" w:rsidRDefault="00FF6B55" w:rsidP="00FF6B55">
            <w:pPr>
              <w:rPr>
                <w:rFonts w:ascii="Arial" w:eastAsia="Times New Roman" w:hAnsi="Arial" w:cs="Arial"/>
                <w:bCs/>
                <w:sz w:val="20"/>
                <w:szCs w:val="20"/>
              </w:rPr>
            </w:pPr>
          </w:p>
        </w:tc>
        <w:tc>
          <w:tcPr>
            <w:tcW w:w="2580" w:type="dxa"/>
          </w:tcPr>
          <w:p w14:paraId="352DE6B1" w14:textId="05D93997" w:rsidR="00FF6B55" w:rsidRPr="004A54EF" w:rsidRDefault="00FF6B55" w:rsidP="00FF6B55">
            <w:pPr>
              <w:rPr>
                <w:rFonts w:ascii="Arial" w:eastAsia="Times New Roman" w:hAnsi="Arial" w:cs="Arial"/>
                <w:sz w:val="20"/>
                <w:szCs w:val="20"/>
              </w:rPr>
            </w:pPr>
            <w:r w:rsidRPr="004A54EF">
              <w:rPr>
                <w:rFonts w:ascii="Arial" w:hAnsi="Arial" w:cs="Arial"/>
                <w:spacing w:val="-1"/>
                <w:w w:val="105"/>
                <w:sz w:val="20"/>
                <w:szCs w:val="20"/>
              </w:rPr>
              <w:t>0</w:t>
            </w:r>
            <w:r w:rsidR="005C2C57">
              <w:rPr>
                <w:rFonts w:ascii="Arial" w:hAnsi="Arial" w:cs="Arial"/>
                <w:spacing w:val="-2"/>
                <w:w w:val="105"/>
                <w:sz w:val="20"/>
                <w:szCs w:val="20"/>
              </w:rPr>
              <w:t>–</w:t>
            </w:r>
            <w:r w:rsidRPr="004A54EF">
              <w:rPr>
                <w:rFonts w:ascii="Arial" w:hAnsi="Arial" w:cs="Arial"/>
                <w:spacing w:val="-1"/>
                <w:w w:val="105"/>
                <w:sz w:val="20"/>
                <w:szCs w:val="20"/>
              </w:rPr>
              <w:t>1</w:t>
            </w:r>
            <w:r w:rsidRPr="004A54EF">
              <w:rPr>
                <w:rFonts w:ascii="Arial" w:hAnsi="Arial" w:cs="Arial"/>
                <w:spacing w:val="-34"/>
                <w:w w:val="105"/>
                <w:sz w:val="20"/>
                <w:szCs w:val="20"/>
              </w:rPr>
              <w:t xml:space="preserve"> </w:t>
            </w:r>
            <w:r w:rsidRPr="004A54EF">
              <w:rPr>
                <w:rFonts w:ascii="Arial" w:hAnsi="Arial" w:cs="Arial"/>
                <w:spacing w:val="1"/>
                <w:w w:val="105"/>
                <w:sz w:val="20"/>
                <w:szCs w:val="20"/>
              </w:rPr>
              <w:t>p</w:t>
            </w:r>
            <w:r w:rsidRPr="004A54EF">
              <w:rPr>
                <w:rFonts w:ascii="Arial" w:hAnsi="Arial" w:cs="Arial"/>
                <w:w w:val="105"/>
                <w:sz w:val="20"/>
                <w:szCs w:val="20"/>
              </w:rPr>
              <w:t>o</w:t>
            </w:r>
            <w:r w:rsidRPr="004A54EF">
              <w:rPr>
                <w:rFonts w:ascii="Arial" w:hAnsi="Arial" w:cs="Arial"/>
                <w:spacing w:val="1"/>
                <w:w w:val="105"/>
                <w:sz w:val="20"/>
                <w:szCs w:val="20"/>
              </w:rPr>
              <w:t>int:</w:t>
            </w:r>
          </w:p>
          <w:p w14:paraId="2C6E3F46" w14:textId="5E5B4B2D" w:rsidR="00FF6B55" w:rsidRPr="004A54EF" w:rsidRDefault="009D7AE4" w:rsidP="00FF6B55">
            <w:pPr>
              <w:rPr>
                <w:rFonts w:ascii="Arial" w:eastAsia="Times New Roman" w:hAnsi="Arial" w:cs="Arial"/>
                <w:sz w:val="20"/>
                <w:szCs w:val="20"/>
              </w:rPr>
            </w:pPr>
            <w:r>
              <w:rPr>
                <w:rFonts w:ascii="Arial" w:hAnsi="Arial" w:cs="Arial"/>
                <w:spacing w:val="-1"/>
                <w:w w:val="105"/>
                <w:sz w:val="20"/>
                <w:szCs w:val="20"/>
              </w:rPr>
              <w:t>Incomplete</w:t>
            </w:r>
            <w:r w:rsidR="00450C50">
              <w:rPr>
                <w:rFonts w:ascii="Arial" w:hAnsi="Arial" w:cs="Arial"/>
                <w:spacing w:val="-1"/>
                <w:w w:val="105"/>
                <w:sz w:val="20"/>
                <w:szCs w:val="20"/>
              </w:rPr>
              <w:t xml:space="preserve">/incorrect </w:t>
            </w:r>
            <w:r>
              <w:rPr>
                <w:rFonts w:ascii="Arial" w:hAnsi="Arial" w:cs="Arial"/>
                <w:spacing w:val="-1"/>
                <w:w w:val="105"/>
                <w:sz w:val="20"/>
                <w:szCs w:val="20"/>
              </w:rPr>
              <w:t xml:space="preserve">answer </w:t>
            </w:r>
            <w:r w:rsidR="00450C50">
              <w:rPr>
                <w:rFonts w:ascii="Arial" w:hAnsi="Arial" w:cs="Arial"/>
                <w:spacing w:val="-1"/>
                <w:w w:val="105"/>
                <w:sz w:val="20"/>
                <w:szCs w:val="20"/>
              </w:rPr>
              <w:t xml:space="preserve">to </w:t>
            </w:r>
            <w:r>
              <w:rPr>
                <w:rFonts w:ascii="Arial" w:hAnsi="Arial" w:cs="Arial"/>
                <w:spacing w:val="-1"/>
                <w:w w:val="105"/>
                <w:sz w:val="20"/>
                <w:szCs w:val="20"/>
              </w:rPr>
              <w:t>question</w:t>
            </w:r>
            <w:r w:rsidR="00B73DD9" w:rsidRPr="00B73DD9">
              <w:rPr>
                <w:rFonts w:ascii="Arial" w:hAnsi="Arial" w:cs="Arial"/>
                <w:w w:val="105"/>
                <w:sz w:val="20"/>
                <w:szCs w:val="20"/>
              </w:rPr>
              <w:t>s</w:t>
            </w:r>
          </w:p>
        </w:tc>
      </w:tr>
      <w:tr w:rsidR="00FF6B55" w14:paraId="722A5D61" w14:textId="77777777" w:rsidTr="00B33653">
        <w:tc>
          <w:tcPr>
            <w:tcW w:w="1705" w:type="dxa"/>
          </w:tcPr>
          <w:p w14:paraId="4AC565B1" w14:textId="47B3C98D" w:rsidR="00FF6B55" w:rsidRPr="004A54EF" w:rsidRDefault="009D7AE4" w:rsidP="00FF6B55">
            <w:pPr>
              <w:ind w:right="446"/>
              <w:rPr>
                <w:rFonts w:ascii="Arial" w:eastAsia="Times New Roman" w:hAnsi="Arial" w:cs="Arial"/>
                <w:bCs/>
                <w:sz w:val="20"/>
                <w:szCs w:val="20"/>
              </w:rPr>
            </w:pPr>
            <w:r>
              <w:rPr>
                <w:rFonts w:ascii="Arial" w:eastAsia="Times New Roman" w:hAnsi="Arial" w:cs="Arial"/>
                <w:bCs/>
                <w:sz w:val="20"/>
                <w:szCs w:val="20"/>
              </w:rPr>
              <w:t>Section</w:t>
            </w:r>
            <w:r w:rsidR="00B33653">
              <w:rPr>
                <w:rFonts w:ascii="Arial" w:eastAsia="Times New Roman" w:hAnsi="Arial" w:cs="Arial"/>
                <w:bCs/>
                <w:sz w:val="20"/>
                <w:szCs w:val="20"/>
              </w:rPr>
              <w:t xml:space="preserve"> </w:t>
            </w:r>
            <w:r w:rsidR="00105570">
              <w:rPr>
                <w:rFonts w:ascii="Arial" w:eastAsia="Times New Roman" w:hAnsi="Arial" w:cs="Arial"/>
                <w:bCs/>
                <w:sz w:val="20"/>
                <w:szCs w:val="20"/>
              </w:rPr>
              <w:t>2.2</w:t>
            </w:r>
            <w:r>
              <w:rPr>
                <w:rFonts w:ascii="Arial" w:eastAsia="Times New Roman" w:hAnsi="Arial" w:cs="Arial"/>
                <w:bCs/>
                <w:sz w:val="20"/>
                <w:szCs w:val="20"/>
              </w:rPr>
              <w:t>.</w:t>
            </w:r>
            <w:r w:rsidR="00210E18">
              <w:rPr>
                <w:rFonts w:ascii="Arial" w:eastAsia="Times New Roman" w:hAnsi="Arial" w:cs="Arial"/>
                <w:bCs/>
                <w:sz w:val="20"/>
                <w:szCs w:val="20"/>
              </w:rPr>
              <w:t>2</w:t>
            </w:r>
          </w:p>
        </w:tc>
        <w:tc>
          <w:tcPr>
            <w:tcW w:w="2513" w:type="dxa"/>
          </w:tcPr>
          <w:p w14:paraId="11DB24D9" w14:textId="77777777" w:rsidR="00FF6B55" w:rsidRPr="004A54EF" w:rsidRDefault="00FF6B55" w:rsidP="00FF6B55">
            <w:pPr>
              <w:tabs>
                <w:tab w:val="left" w:pos="540"/>
              </w:tabs>
              <w:rPr>
                <w:rFonts w:ascii="Arial" w:hAnsi="Arial" w:cs="Arial"/>
                <w:w w:val="105"/>
                <w:sz w:val="20"/>
                <w:szCs w:val="20"/>
              </w:rPr>
            </w:pPr>
            <w:r w:rsidRPr="004A54EF">
              <w:rPr>
                <w:rFonts w:ascii="Arial" w:hAnsi="Arial" w:cs="Arial"/>
                <w:w w:val="105"/>
                <w:sz w:val="20"/>
                <w:szCs w:val="20"/>
              </w:rPr>
              <w:t>4 points:</w:t>
            </w:r>
          </w:p>
          <w:p w14:paraId="1F2161BD" w14:textId="513FC5EF" w:rsidR="00FF6B55" w:rsidRPr="004A54EF" w:rsidRDefault="00450C50" w:rsidP="00FF6B55">
            <w:pPr>
              <w:tabs>
                <w:tab w:val="left" w:pos="180"/>
              </w:tabs>
              <w:rPr>
                <w:rFonts w:ascii="Arial" w:eastAsia="Times New Roman" w:hAnsi="Arial" w:cs="Arial"/>
                <w:bCs/>
                <w:sz w:val="20"/>
                <w:szCs w:val="20"/>
              </w:rPr>
            </w:pPr>
            <w:r>
              <w:rPr>
                <w:rFonts w:ascii="Arial" w:hAnsi="Arial" w:cs="Arial"/>
                <w:w w:val="105"/>
                <w:sz w:val="20"/>
                <w:szCs w:val="20"/>
              </w:rPr>
              <w:t>Excel spreadsheet fully completed with correct estimates of formation factor and surface conductivity. Questions answered correctly and thoughtfully</w:t>
            </w:r>
          </w:p>
        </w:tc>
        <w:tc>
          <w:tcPr>
            <w:tcW w:w="2580" w:type="dxa"/>
          </w:tcPr>
          <w:p w14:paraId="5EAF5F62" w14:textId="56FEEF22" w:rsidR="00FF6B55" w:rsidRPr="004A54EF" w:rsidRDefault="00FF6B55" w:rsidP="00FF6B55">
            <w:pPr>
              <w:rPr>
                <w:rFonts w:ascii="Arial" w:hAnsi="Arial" w:cs="Arial"/>
                <w:w w:val="105"/>
                <w:sz w:val="20"/>
                <w:szCs w:val="20"/>
              </w:rPr>
            </w:pPr>
            <w:r w:rsidRPr="004A54EF">
              <w:rPr>
                <w:rFonts w:ascii="Arial" w:hAnsi="Arial" w:cs="Arial"/>
                <w:w w:val="105"/>
                <w:sz w:val="20"/>
                <w:szCs w:val="20"/>
              </w:rPr>
              <w:t>2</w:t>
            </w:r>
            <w:r w:rsidR="005C2C57">
              <w:rPr>
                <w:rFonts w:ascii="Arial" w:hAnsi="Arial" w:cs="Arial"/>
                <w:w w:val="105"/>
                <w:sz w:val="20"/>
                <w:szCs w:val="20"/>
              </w:rPr>
              <w:t>–</w:t>
            </w:r>
            <w:r w:rsidRPr="004A54EF">
              <w:rPr>
                <w:rFonts w:ascii="Arial" w:hAnsi="Arial" w:cs="Arial"/>
                <w:w w:val="105"/>
                <w:sz w:val="20"/>
                <w:szCs w:val="20"/>
              </w:rPr>
              <w:t>3 point</w:t>
            </w:r>
            <w:r w:rsidR="005C2C57">
              <w:rPr>
                <w:rFonts w:ascii="Arial" w:hAnsi="Arial" w:cs="Arial"/>
                <w:w w:val="105"/>
                <w:sz w:val="20"/>
                <w:szCs w:val="20"/>
              </w:rPr>
              <w:t>s</w:t>
            </w:r>
            <w:r w:rsidRPr="004A54EF">
              <w:rPr>
                <w:rFonts w:ascii="Arial" w:hAnsi="Arial" w:cs="Arial"/>
                <w:w w:val="105"/>
                <w:sz w:val="20"/>
                <w:szCs w:val="20"/>
              </w:rPr>
              <w:t>:</w:t>
            </w:r>
          </w:p>
          <w:p w14:paraId="08EB16A2" w14:textId="208E2367" w:rsidR="00FF6B55" w:rsidRPr="004A54EF" w:rsidRDefault="00450C50" w:rsidP="00FF6B55">
            <w:pPr>
              <w:rPr>
                <w:rFonts w:ascii="Arial" w:eastAsia="Times New Roman" w:hAnsi="Arial" w:cs="Arial"/>
                <w:bCs/>
                <w:sz w:val="20"/>
                <w:szCs w:val="20"/>
              </w:rPr>
            </w:pPr>
            <w:r>
              <w:rPr>
                <w:rFonts w:ascii="Arial" w:hAnsi="Arial" w:cs="Arial"/>
                <w:w w:val="105"/>
                <w:sz w:val="20"/>
                <w:szCs w:val="20"/>
              </w:rPr>
              <w:t>Excel spreadsheet mostly complete and at least two of the questions answered correctly and thoughtfully</w:t>
            </w:r>
          </w:p>
        </w:tc>
        <w:tc>
          <w:tcPr>
            <w:tcW w:w="2580" w:type="dxa"/>
          </w:tcPr>
          <w:p w14:paraId="3DD00B22" w14:textId="70BFFBA2" w:rsidR="00FF6B55" w:rsidRPr="004A54EF" w:rsidRDefault="00FF6B55" w:rsidP="00FF6B55">
            <w:pPr>
              <w:rPr>
                <w:rFonts w:ascii="Arial" w:eastAsia="Times New Roman" w:hAnsi="Arial" w:cs="Arial"/>
                <w:sz w:val="20"/>
                <w:szCs w:val="20"/>
              </w:rPr>
            </w:pPr>
            <w:r w:rsidRPr="004A54EF">
              <w:rPr>
                <w:rFonts w:ascii="Arial" w:hAnsi="Arial" w:cs="Arial"/>
                <w:spacing w:val="-1"/>
                <w:w w:val="105"/>
                <w:sz w:val="20"/>
                <w:szCs w:val="20"/>
              </w:rPr>
              <w:t>0</w:t>
            </w:r>
            <w:r w:rsidR="005C2C57">
              <w:rPr>
                <w:rFonts w:ascii="Arial" w:hAnsi="Arial" w:cs="Arial"/>
                <w:spacing w:val="-2"/>
                <w:w w:val="105"/>
                <w:sz w:val="20"/>
                <w:szCs w:val="20"/>
              </w:rPr>
              <w:t>–</w:t>
            </w:r>
            <w:r w:rsidRPr="004A54EF">
              <w:rPr>
                <w:rFonts w:ascii="Arial" w:hAnsi="Arial" w:cs="Arial"/>
                <w:spacing w:val="-1"/>
                <w:w w:val="105"/>
                <w:sz w:val="20"/>
                <w:szCs w:val="20"/>
              </w:rPr>
              <w:t>1</w:t>
            </w:r>
            <w:r w:rsidRPr="004A54EF">
              <w:rPr>
                <w:rFonts w:ascii="Arial" w:hAnsi="Arial" w:cs="Arial"/>
                <w:spacing w:val="-34"/>
                <w:w w:val="105"/>
                <w:sz w:val="20"/>
                <w:szCs w:val="20"/>
              </w:rPr>
              <w:t xml:space="preserve"> </w:t>
            </w:r>
            <w:r w:rsidRPr="004A54EF">
              <w:rPr>
                <w:rFonts w:ascii="Arial" w:hAnsi="Arial" w:cs="Arial"/>
                <w:spacing w:val="1"/>
                <w:w w:val="105"/>
                <w:sz w:val="20"/>
                <w:szCs w:val="20"/>
              </w:rPr>
              <w:t>p</w:t>
            </w:r>
            <w:r w:rsidRPr="004A54EF">
              <w:rPr>
                <w:rFonts w:ascii="Arial" w:hAnsi="Arial" w:cs="Arial"/>
                <w:w w:val="105"/>
                <w:sz w:val="20"/>
                <w:szCs w:val="20"/>
              </w:rPr>
              <w:t>o</w:t>
            </w:r>
            <w:r w:rsidRPr="004A54EF">
              <w:rPr>
                <w:rFonts w:ascii="Arial" w:hAnsi="Arial" w:cs="Arial"/>
                <w:spacing w:val="1"/>
                <w:w w:val="105"/>
                <w:sz w:val="20"/>
                <w:szCs w:val="20"/>
              </w:rPr>
              <w:t>int:</w:t>
            </w:r>
          </w:p>
          <w:p w14:paraId="7147FFB9" w14:textId="284F40B3" w:rsidR="00FF6B55" w:rsidRPr="004A54EF" w:rsidRDefault="00B33653" w:rsidP="00FF6B55">
            <w:pPr>
              <w:rPr>
                <w:rFonts w:ascii="Arial" w:eastAsia="Times New Roman" w:hAnsi="Arial" w:cs="Arial"/>
                <w:bCs/>
                <w:sz w:val="20"/>
                <w:szCs w:val="20"/>
              </w:rPr>
            </w:pPr>
            <w:r>
              <w:rPr>
                <w:rFonts w:ascii="Arial" w:hAnsi="Arial" w:cs="Arial"/>
                <w:w w:val="105"/>
                <w:sz w:val="20"/>
                <w:szCs w:val="20"/>
              </w:rPr>
              <w:t xml:space="preserve">Incomplete </w:t>
            </w:r>
            <w:r w:rsidR="00450C50">
              <w:rPr>
                <w:rFonts w:ascii="Arial" w:hAnsi="Arial" w:cs="Arial"/>
                <w:w w:val="105"/>
                <w:sz w:val="20"/>
                <w:szCs w:val="20"/>
              </w:rPr>
              <w:t>Excel spreadsheet and weak attempt at the questions</w:t>
            </w:r>
          </w:p>
        </w:tc>
      </w:tr>
      <w:tr w:rsidR="00450C50" w14:paraId="607D123E" w14:textId="77777777" w:rsidTr="00B33653">
        <w:tc>
          <w:tcPr>
            <w:tcW w:w="1705" w:type="dxa"/>
          </w:tcPr>
          <w:p w14:paraId="43B758E8" w14:textId="28241444" w:rsidR="00450C50" w:rsidRDefault="00450C50" w:rsidP="00450C50">
            <w:pPr>
              <w:rPr>
                <w:rFonts w:ascii="Arial" w:eastAsia="Times New Roman" w:hAnsi="Arial" w:cs="Arial"/>
                <w:bCs/>
                <w:sz w:val="20"/>
                <w:szCs w:val="20"/>
              </w:rPr>
            </w:pPr>
            <w:r>
              <w:rPr>
                <w:rFonts w:ascii="Arial" w:eastAsia="Times New Roman" w:hAnsi="Arial" w:cs="Arial"/>
                <w:bCs/>
                <w:sz w:val="20"/>
                <w:szCs w:val="20"/>
              </w:rPr>
              <w:t>Section 2.2.3</w:t>
            </w:r>
          </w:p>
        </w:tc>
        <w:tc>
          <w:tcPr>
            <w:tcW w:w="2513" w:type="dxa"/>
          </w:tcPr>
          <w:p w14:paraId="15FD249F" w14:textId="77777777" w:rsidR="00450C50" w:rsidRPr="004A54EF" w:rsidRDefault="00450C50" w:rsidP="00450C50">
            <w:pPr>
              <w:tabs>
                <w:tab w:val="left" w:pos="540"/>
              </w:tabs>
              <w:rPr>
                <w:rFonts w:ascii="Arial" w:hAnsi="Arial" w:cs="Arial"/>
                <w:w w:val="105"/>
                <w:sz w:val="20"/>
                <w:szCs w:val="20"/>
              </w:rPr>
            </w:pPr>
            <w:r w:rsidRPr="004A54EF">
              <w:rPr>
                <w:rFonts w:ascii="Arial" w:hAnsi="Arial" w:cs="Arial"/>
                <w:w w:val="105"/>
                <w:sz w:val="20"/>
                <w:szCs w:val="20"/>
              </w:rPr>
              <w:t>4 points:</w:t>
            </w:r>
          </w:p>
          <w:p w14:paraId="6BDA8A5B" w14:textId="2B7294A5" w:rsidR="00450C50" w:rsidRDefault="00450C50" w:rsidP="00450C50">
            <w:pPr>
              <w:rPr>
                <w:rFonts w:ascii="Arial" w:hAnsi="Arial" w:cs="Arial"/>
                <w:w w:val="105"/>
                <w:sz w:val="20"/>
                <w:szCs w:val="20"/>
              </w:rPr>
            </w:pPr>
            <w:r>
              <w:rPr>
                <w:rFonts w:ascii="Arial" w:hAnsi="Arial" w:cs="Arial"/>
                <w:w w:val="105"/>
                <w:sz w:val="20"/>
                <w:szCs w:val="20"/>
              </w:rPr>
              <w:t>Excel spreadsheet fully completed with correct estimates of formation factor and surface conductivity. Questions answered correctly and thoughtfully</w:t>
            </w:r>
          </w:p>
        </w:tc>
        <w:tc>
          <w:tcPr>
            <w:tcW w:w="2580" w:type="dxa"/>
          </w:tcPr>
          <w:p w14:paraId="2ABB1264" w14:textId="77777777" w:rsidR="00450C50" w:rsidRPr="004A54EF" w:rsidRDefault="00450C50" w:rsidP="00450C50">
            <w:pPr>
              <w:rPr>
                <w:rFonts w:ascii="Arial" w:hAnsi="Arial" w:cs="Arial"/>
                <w:w w:val="105"/>
                <w:sz w:val="20"/>
                <w:szCs w:val="20"/>
              </w:rPr>
            </w:pPr>
            <w:r w:rsidRPr="004A54EF">
              <w:rPr>
                <w:rFonts w:ascii="Arial" w:hAnsi="Arial" w:cs="Arial"/>
                <w:w w:val="105"/>
                <w:sz w:val="20"/>
                <w:szCs w:val="20"/>
              </w:rPr>
              <w:t>2</w:t>
            </w:r>
            <w:r>
              <w:rPr>
                <w:rFonts w:ascii="Arial" w:hAnsi="Arial" w:cs="Arial"/>
                <w:w w:val="105"/>
                <w:sz w:val="20"/>
                <w:szCs w:val="20"/>
              </w:rPr>
              <w:t>–</w:t>
            </w:r>
            <w:r w:rsidRPr="004A54EF">
              <w:rPr>
                <w:rFonts w:ascii="Arial" w:hAnsi="Arial" w:cs="Arial"/>
                <w:w w:val="105"/>
                <w:sz w:val="20"/>
                <w:szCs w:val="20"/>
              </w:rPr>
              <w:t>3 point</w:t>
            </w:r>
            <w:r>
              <w:rPr>
                <w:rFonts w:ascii="Arial" w:hAnsi="Arial" w:cs="Arial"/>
                <w:w w:val="105"/>
                <w:sz w:val="20"/>
                <w:szCs w:val="20"/>
              </w:rPr>
              <w:t>s</w:t>
            </w:r>
            <w:r w:rsidRPr="004A54EF">
              <w:rPr>
                <w:rFonts w:ascii="Arial" w:hAnsi="Arial" w:cs="Arial"/>
                <w:w w:val="105"/>
                <w:sz w:val="20"/>
                <w:szCs w:val="20"/>
              </w:rPr>
              <w:t>:</w:t>
            </w:r>
          </w:p>
          <w:p w14:paraId="39FAA93D" w14:textId="65BD59F2" w:rsidR="00450C50" w:rsidRDefault="00450C50" w:rsidP="00450C50">
            <w:pPr>
              <w:rPr>
                <w:rFonts w:ascii="Arial" w:hAnsi="Arial" w:cs="Arial"/>
                <w:spacing w:val="1"/>
                <w:w w:val="105"/>
                <w:sz w:val="20"/>
                <w:szCs w:val="20"/>
              </w:rPr>
            </w:pPr>
            <w:r>
              <w:rPr>
                <w:rFonts w:ascii="Arial" w:hAnsi="Arial" w:cs="Arial"/>
                <w:w w:val="105"/>
                <w:sz w:val="20"/>
                <w:szCs w:val="20"/>
              </w:rPr>
              <w:t>Excel spreadsheet mostly complete and at least two of the questions answered correctly and thoughtfully</w:t>
            </w:r>
          </w:p>
        </w:tc>
        <w:tc>
          <w:tcPr>
            <w:tcW w:w="2580" w:type="dxa"/>
          </w:tcPr>
          <w:p w14:paraId="5DC578B6" w14:textId="77777777" w:rsidR="00450C50" w:rsidRPr="004A54EF" w:rsidRDefault="00450C50" w:rsidP="00450C50">
            <w:pPr>
              <w:rPr>
                <w:rFonts w:ascii="Arial" w:eastAsia="Times New Roman" w:hAnsi="Arial" w:cs="Arial"/>
                <w:sz w:val="20"/>
                <w:szCs w:val="20"/>
              </w:rPr>
            </w:pPr>
            <w:r w:rsidRPr="004A54EF">
              <w:rPr>
                <w:rFonts w:ascii="Arial" w:hAnsi="Arial" w:cs="Arial"/>
                <w:spacing w:val="-1"/>
                <w:w w:val="105"/>
                <w:sz w:val="20"/>
                <w:szCs w:val="20"/>
              </w:rPr>
              <w:t>0</w:t>
            </w:r>
            <w:r>
              <w:rPr>
                <w:rFonts w:ascii="Arial" w:hAnsi="Arial" w:cs="Arial"/>
                <w:spacing w:val="-2"/>
                <w:w w:val="105"/>
                <w:sz w:val="20"/>
                <w:szCs w:val="20"/>
              </w:rPr>
              <w:t>–</w:t>
            </w:r>
            <w:r w:rsidRPr="004A54EF">
              <w:rPr>
                <w:rFonts w:ascii="Arial" w:hAnsi="Arial" w:cs="Arial"/>
                <w:spacing w:val="-1"/>
                <w:w w:val="105"/>
                <w:sz w:val="20"/>
                <w:szCs w:val="20"/>
              </w:rPr>
              <w:t>1</w:t>
            </w:r>
            <w:r w:rsidRPr="004A54EF">
              <w:rPr>
                <w:rFonts w:ascii="Arial" w:hAnsi="Arial" w:cs="Arial"/>
                <w:spacing w:val="-34"/>
                <w:w w:val="105"/>
                <w:sz w:val="20"/>
                <w:szCs w:val="20"/>
              </w:rPr>
              <w:t xml:space="preserve"> </w:t>
            </w:r>
            <w:r w:rsidRPr="004A54EF">
              <w:rPr>
                <w:rFonts w:ascii="Arial" w:hAnsi="Arial" w:cs="Arial"/>
                <w:spacing w:val="1"/>
                <w:w w:val="105"/>
                <w:sz w:val="20"/>
                <w:szCs w:val="20"/>
              </w:rPr>
              <w:t>p</w:t>
            </w:r>
            <w:r w:rsidRPr="004A54EF">
              <w:rPr>
                <w:rFonts w:ascii="Arial" w:hAnsi="Arial" w:cs="Arial"/>
                <w:w w:val="105"/>
                <w:sz w:val="20"/>
                <w:szCs w:val="20"/>
              </w:rPr>
              <w:t>o</w:t>
            </w:r>
            <w:r w:rsidRPr="004A54EF">
              <w:rPr>
                <w:rFonts w:ascii="Arial" w:hAnsi="Arial" w:cs="Arial"/>
                <w:spacing w:val="1"/>
                <w:w w:val="105"/>
                <w:sz w:val="20"/>
                <w:szCs w:val="20"/>
              </w:rPr>
              <w:t>int:</w:t>
            </w:r>
          </w:p>
          <w:p w14:paraId="603B5D74" w14:textId="7BB4B39B" w:rsidR="00450C50" w:rsidRPr="004A54EF" w:rsidRDefault="00450C50" w:rsidP="00450C50">
            <w:pPr>
              <w:rPr>
                <w:rFonts w:ascii="Arial" w:hAnsi="Arial" w:cs="Arial"/>
                <w:spacing w:val="-1"/>
                <w:w w:val="105"/>
                <w:sz w:val="20"/>
                <w:szCs w:val="20"/>
              </w:rPr>
            </w:pPr>
            <w:r>
              <w:rPr>
                <w:rFonts w:ascii="Arial" w:hAnsi="Arial" w:cs="Arial"/>
                <w:w w:val="105"/>
                <w:sz w:val="20"/>
                <w:szCs w:val="20"/>
              </w:rPr>
              <w:t>Incomplete Excel spreadsheet and weak attempt at the questions</w:t>
            </w:r>
          </w:p>
        </w:tc>
      </w:tr>
      <w:tr w:rsidR="00FF6B55" w14:paraId="70CD9720" w14:textId="77777777" w:rsidTr="00B33653">
        <w:tc>
          <w:tcPr>
            <w:tcW w:w="1705" w:type="dxa"/>
          </w:tcPr>
          <w:p w14:paraId="6AA10428" w14:textId="2090B8BE" w:rsidR="00FF6B55" w:rsidRPr="004A54EF" w:rsidRDefault="00B33653" w:rsidP="00FF6B55">
            <w:pPr>
              <w:rPr>
                <w:rFonts w:ascii="Arial" w:eastAsia="Times New Roman" w:hAnsi="Arial" w:cs="Arial"/>
                <w:bCs/>
                <w:sz w:val="20"/>
                <w:szCs w:val="20"/>
              </w:rPr>
            </w:pPr>
            <w:r>
              <w:rPr>
                <w:rFonts w:ascii="Arial" w:eastAsia="Times New Roman" w:hAnsi="Arial" w:cs="Arial"/>
                <w:bCs/>
                <w:sz w:val="20"/>
                <w:szCs w:val="20"/>
              </w:rPr>
              <w:t xml:space="preserve">Section </w:t>
            </w:r>
            <w:r w:rsidR="00105570">
              <w:rPr>
                <w:rFonts w:ascii="Arial" w:eastAsia="Times New Roman" w:hAnsi="Arial" w:cs="Arial"/>
                <w:bCs/>
                <w:sz w:val="20"/>
                <w:szCs w:val="20"/>
              </w:rPr>
              <w:t>2.2</w:t>
            </w:r>
            <w:r>
              <w:rPr>
                <w:rFonts w:ascii="Arial" w:eastAsia="Times New Roman" w:hAnsi="Arial" w:cs="Arial"/>
                <w:bCs/>
                <w:sz w:val="20"/>
                <w:szCs w:val="20"/>
              </w:rPr>
              <w:t>.4</w:t>
            </w:r>
          </w:p>
        </w:tc>
        <w:tc>
          <w:tcPr>
            <w:tcW w:w="2513" w:type="dxa"/>
          </w:tcPr>
          <w:p w14:paraId="3E29591C" w14:textId="1FAFFB44" w:rsidR="00FF6B55" w:rsidRPr="004A54EF" w:rsidRDefault="00B33653" w:rsidP="00FF6B55">
            <w:pPr>
              <w:rPr>
                <w:rFonts w:ascii="Arial" w:eastAsia="Times New Roman" w:hAnsi="Arial" w:cs="Arial"/>
                <w:sz w:val="20"/>
                <w:szCs w:val="20"/>
              </w:rPr>
            </w:pPr>
            <w:r>
              <w:rPr>
                <w:rFonts w:ascii="Arial" w:hAnsi="Arial" w:cs="Arial"/>
                <w:w w:val="105"/>
                <w:sz w:val="20"/>
                <w:szCs w:val="20"/>
              </w:rPr>
              <w:t>3</w:t>
            </w:r>
            <w:r w:rsidR="00FF6B55" w:rsidRPr="004A54EF">
              <w:rPr>
                <w:rFonts w:ascii="Arial" w:hAnsi="Arial" w:cs="Arial"/>
                <w:spacing w:val="-16"/>
                <w:w w:val="105"/>
                <w:sz w:val="20"/>
                <w:szCs w:val="20"/>
              </w:rPr>
              <w:t xml:space="preserve"> </w:t>
            </w:r>
            <w:r w:rsidR="00FF6B55" w:rsidRPr="004A54EF">
              <w:rPr>
                <w:rFonts w:ascii="Arial" w:hAnsi="Arial" w:cs="Arial"/>
                <w:spacing w:val="2"/>
                <w:w w:val="105"/>
                <w:sz w:val="20"/>
                <w:szCs w:val="20"/>
              </w:rPr>
              <w:t>p</w:t>
            </w:r>
            <w:r w:rsidR="00FF6B55" w:rsidRPr="004A54EF">
              <w:rPr>
                <w:rFonts w:ascii="Arial" w:hAnsi="Arial" w:cs="Arial"/>
                <w:spacing w:val="1"/>
                <w:w w:val="105"/>
                <w:sz w:val="20"/>
                <w:szCs w:val="20"/>
              </w:rPr>
              <w:t>o</w:t>
            </w:r>
            <w:r w:rsidR="00FF6B55" w:rsidRPr="004A54EF">
              <w:rPr>
                <w:rFonts w:ascii="Arial" w:hAnsi="Arial" w:cs="Arial"/>
                <w:spacing w:val="9"/>
                <w:w w:val="105"/>
                <w:sz w:val="20"/>
                <w:szCs w:val="20"/>
              </w:rPr>
              <w:t>i</w:t>
            </w:r>
            <w:r w:rsidR="00FF6B55" w:rsidRPr="004A54EF">
              <w:rPr>
                <w:rFonts w:ascii="Arial" w:hAnsi="Arial" w:cs="Arial"/>
                <w:spacing w:val="2"/>
                <w:w w:val="105"/>
                <w:sz w:val="20"/>
                <w:szCs w:val="20"/>
              </w:rPr>
              <w:t>n</w:t>
            </w:r>
            <w:r w:rsidR="00FF6B55" w:rsidRPr="004A54EF">
              <w:rPr>
                <w:rFonts w:ascii="Arial" w:hAnsi="Arial" w:cs="Arial"/>
                <w:spacing w:val="-9"/>
                <w:w w:val="105"/>
                <w:sz w:val="20"/>
                <w:szCs w:val="20"/>
              </w:rPr>
              <w:t>t</w:t>
            </w:r>
            <w:r w:rsidR="00FF6B55" w:rsidRPr="004A54EF">
              <w:rPr>
                <w:rFonts w:ascii="Arial" w:hAnsi="Arial" w:cs="Arial"/>
                <w:w w:val="105"/>
                <w:sz w:val="20"/>
                <w:szCs w:val="20"/>
              </w:rPr>
              <w:t>s:</w:t>
            </w:r>
          </w:p>
          <w:p w14:paraId="534C5433" w14:textId="641A4402" w:rsidR="00FF6B55" w:rsidRPr="004A54EF" w:rsidRDefault="00B33653" w:rsidP="00FF6B55">
            <w:pPr>
              <w:rPr>
                <w:rFonts w:ascii="Arial" w:eastAsia="Times New Roman" w:hAnsi="Arial" w:cs="Arial"/>
                <w:bCs/>
                <w:sz w:val="20"/>
                <w:szCs w:val="20"/>
              </w:rPr>
            </w:pPr>
            <w:r>
              <w:rPr>
                <w:rFonts w:ascii="Arial" w:hAnsi="Arial" w:cs="Arial"/>
                <w:w w:val="105"/>
                <w:sz w:val="20"/>
                <w:szCs w:val="20"/>
              </w:rPr>
              <w:t xml:space="preserve">Correct </w:t>
            </w:r>
            <w:r w:rsidR="00450C50">
              <w:rPr>
                <w:rFonts w:ascii="Arial" w:hAnsi="Arial" w:cs="Arial"/>
                <w:w w:val="105"/>
                <w:sz w:val="20"/>
                <w:szCs w:val="20"/>
              </w:rPr>
              <w:t>calculations for Question 10 and a well-reasoned answer to Question 11.</w:t>
            </w:r>
          </w:p>
        </w:tc>
        <w:tc>
          <w:tcPr>
            <w:tcW w:w="2580" w:type="dxa"/>
          </w:tcPr>
          <w:p w14:paraId="3246F7E1" w14:textId="18A98BA7" w:rsidR="00FF6B55" w:rsidRPr="004A54EF" w:rsidRDefault="00B33653" w:rsidP="00FF6B55">
            <w:pPr>
              <w:rPr>
                <w:rFonts w:ascii="Arial" w:eastAsia="Times New Roman" w:hAnsi="Arial" w:cs="Arial"/>
                <w:sz w:val="20"/>
                <w:szCs w:val="20"/>
              </w:rPr>
            </w:pPr>
            <w:r>
              <w:rPr>
                <w:rFonts w:ascii="Arial" w:hAnsi="Arial" w:cs="Arial"/>
                <w:spacing w:val="1"/>
                <w:w w:val="105"/>
                <w:sz w:val="20"/>
                <w:szCs w:val="20"/>
              </w:rPr>
              <w:t>2</w:t>
            </w:r>
            <w:r w:rsidR="00FF6B55" w:rsidRPr="004A54EF">
              <w:rPr>
                <w:rFonts w:ascii="Arial" w:hAnsi="Arial" w:cs="Arial"/>
                <w:spacing w:val="-7"/>
                <w:w w:val="105"/>
                <w:sz w:val="20"/>
                <w:szCs w:val="20"/>
              </w:rPr>
              <w:t xml:space="preserve"> </w:t>
            </w:r>
            <w:r w:rsidR="00FF6B55" w:rsidRPr="004A54EF">
              <w:rPr>
                <w:rFonts w:ascii="Arial" w:hAnsi="Arial" w:cs="Arial"/>
                <w:spacing w:val="2"/>
                <w:w w:val="105"/>
                <w:sz w:val="20"/>
                <w:szCs w:val="20"/>
              </w:rPr>
              <w:t>p</w:t>
            </w:r>
            <w:r w:rsidR="00FF6B55" w:rsidRPr="004A54EF">
              <w:rPr>
                <w:rFonts w:ascii="Arial" w:hAnsi="Arial" w:cs="Arial"/>
                <w:spacing w:val="1"/>
                <w:w w:val="105"/>
                <w:sz w:val="20"/>
                <w:szCs w:val="20"/>
              </w:rPr>
              <w:t>o</w:t>
            </w:r>
            <w:r w:rsidR="00FF6B55" w:rsidRPr="004A54EF">
              <w:rPr>
                <w:rFonts w:ascii="Arial" w:hAnsi="Arial" w:cs="Arial"/>
                <w:spacing w:val="9"/>
                <w:w w:val="105"/>
                <w:sz w:val="20"/>
                <w:szCs w:val="20"/>
              </w:rPr>
              <w:t>i</w:t>
            </w:r>
            <w:r w:rsidR="00FF6B55" w:rsidRPr="004A54EF">
              <w:rPr>
                <w:rFonts w:ascii="Arial" w:hAnsi="Arial" w:cs="Arial"/>
                <w:spacing w:val="2"/>
                <w:w w:val="105"/>
                <w:sz w:val="20"/>
                <w:szCs w:val="20"/>
              </w:rPr>
              <w:t>n</w:t>
            </w:r>
            <w:r w:rsidR="00FF6B55" w:rsidRPr="004A54EF">
              <w:rPr>
                <w:rFonts w:ascii="Arial" w:hAnsi="Arial" w:cs="Arial"/>
                <w:spacing w:val="-9"/>
                <w:w w:val="105"/>
                <w:sz w:val="20"/>
                <w:szCs w:val="20"/>
              </w:rPr>
              <w:t>t</w:t>
            </w:r>
            <w:r w:rsidR="00FF6B55" w:rsidRPr="004A54EF">
              <w:rPr>
                <w:rFonts w:ascii="Arial" w:hAnsi="Arial" w:cs="Arial"/>
                <w:w w:val="105"/>
                <w:sz w:val="20"/>
                <w:szCs w:val="20"/>
              </w:rPr>
              <w:t>s:</w:t>
            </w:r>
          </w:p>
          <w:p w14:paraId="67A033EC" w14:textId="0239C998" w:rsidR="00FF6B55" w:rsidRPr="004A54EF" w:rsidRDefault="00210E18" w:rsidP="00FF6B55">
            <w:pPr>
              <w:rPr>
                <w:rFonts w:ascii="Arial" w:eastAsia="Times New Roman" w:hAnsi="Arial" w:cs="Arial"/>
                <w:bCs/>
                <w:sz w:val="20"/>
                <w:szCs w:val="20"/>
              </w:rPr>
            </w:pPr>
            <w:r>
              <w:rPr>
                <w:rFonts w:ascii="Arial" w:hAnsi="Arial" w:cs="Arial"/>
                <w:w w:val="105"/>
                <w:sz w:val="20"/>
                <w:szCs w:val="20"/>
              </w:rPr>
              <w:t xml:space="preserve">Partially correct </w:t>
            </w:r>
            <w:r w:rsidR="00450C50">
              <w:rPr>
                <w:rFonts w:ascii="Arial" w:hAnsi="Arial" w:cs="Arial"/>
                <w:w w:val="105"/>
                <w:sz w:val="20"/>
                <w:szCs w:val="20"/>
              </w:rPr>
              <w:t>calculations for Question 10 and partly-reasoned answer to Question 11</w:t>
            </w:r>
          </w:p>
        </w:tc>
        <w:tc>
          <w:tcPr>
            <w:tcW w:w="2580" w:type="dxa"/>
          </w:tcPr>
          <w:p w14:paraId="07F4E5FD" w14:textId="7728C8BF" w:rsidR="00FF6B55" w:rsidRPr="004A54EF" w:rsidRDefault="00FF6B55" w:rsidP="00FF6B55">
            <w:pPr>
              <w:rPr>
                <w:rFonts w:ascii="Arial" w:eastAsia="Times New Roman" w:hAnsi="Arial" w:cs="Arial"/>
                <w:sz w:val="20"/>
                <w:szCs w:val="20"/>
              </w:rPr>
            </w:pPr>
            <w:r w:rsidRPr="004A54EF">
              <w:rPr>
                <w:rFonts w:ascii="Arial" w:hAnsi="Arial" w:cs="Arial"/>
                <w:spacing w:val="-1"/>
                <w:w w:val="105"/>
                <w:sz w:val="20"/>
                <w:szCs w:val="20"/>
              </w:rPr>
              <w:t>0</w:t>
            </w:r>
            <w:r w:rsidR="005C2C57">
              <w:rPr>
                <w:rFonts w:ascii="Arial" w:hAnsi="Arial" w:cs="Arial"/>
                <w:spacing w:val="-2"/>
                <w:w w:val="105"/>
                <w:sz w:val="20"/>
                <w:szCs w:val="20"/>
              </w:rPr>
              <w:t>–</w:t>
            </w:r>
            <w:r w:rsidR="00B33653">
              <w:rPr>
                <w:rFonts w:ascii="Arial" w:hAnsi="Arial" w:cs="Arial"/>
                <w:spacing w:val="-1"/>
                <w:w w:val="105"/>
                <w:sz w:val="20"/>
                <w:szCs w:val="20"/>
              </w:rPr>
              <w:t>1</w:t>
            </w:r>
            <w:r w:rsidRPr="004A54EF">
              <w:rPr>
                <w:rFonts w:ascii="Arial" w:hAnsi="Arial" w:cs="Arial"/>
                <w:spacing w:val="-34"/>
                <w:w w:val="105"/>
                <w:sz w:val="20"/>
                <w:szCs w:val="20"/>
              </w:rPr>
              <w:t xml:space="preserve"> </w:t>
            </w:r>
            <w:r w:rsidRPr="004A54EF">
              <w:rPr>
                <w:rFonts w:ascii="Arial" w:hAnsi="Arial" w:cs="Arial"/>
                <w:spacing w:val="1"/>
                <w:w w:val="105"/>
                <w:sz w:val="20"/>
                <w:szCs w:val="20"/>
              </w:rPr>
              <w:t>p</w:t>
            </w:r>
            <w:r w:rsidRPr="004A54EF">
              <w:rPr>
                <w:rFonts w:ascii="Arial" w:hAnsi="Arial" w:cs="Arial"/>
                <w:w w:val="105"/>
                <w:sz w:val="20"/>
                <w:szCs w:val="20"/>
              </w:rPr>
              <w:t>o</w:t>
            </w:r>
            <w:r w:rsidRPr="004A54EF">
              <w:rPr>
                <w:rFonts w:ascii="Arial" w:hAnsi="Arial" w:cs="Arial"/>
                <w:spacing w:val="1"/>
                <w:w w:val="105"/>
                <w:sz w:val="20"/>
                <w:szCs w:val="20"/>
              </w:rPr>
              <w:t>int:</w:t>
            </w:r>
          </w:p>
          <w:p w14:paraId="690B47C7" w14:textId="13B668F3" w:rsidR="00FF6B55" w:rsidRPr="004A54EF" w:rsidRDefault="00450C50" w:rsidP="00FF6B55">
            <w:pPr>
              <w:rPr>
                <w:rFonts w:ascii="Arial" w:eastAsia="Times New Roman" w:hAnsi="Arial" w:cs="Arial"/>
                <w:sz w:val="20"/>
                <w:szCs w:val="20"/>
              </w:rPr>
            </w:pPr>
            <w:r>
              <w:rPr>
                <w:rFonts w:ascii="Arial" w:hAnsi="Arial" w:cs="Arial"/>
                <w:spacing w:val="-1"/>
                <w:w w:val="105"/>
                <w:sz w:val="20"/>
                <w:szCs w:val="20"/>
              </w:rPr>
              <w:t>Incorrect calculations and poorly-reasoned answer to Question 11</w:t>
            </w:r>
          </w:p>
        </w:tc>
      </w:tr>
      <w:tr w:rsidR="001448AE" w14:paraId="00AD970B" w14:textId="77777777" w:rsidTr="00B33653">
        <w:tc>
          <w:tcPr>
            <w:tcW w:w="1705" w:type="dxa"/>
          </w:tcPr>
          <w:p w14:paraId="4077EA65" w14:textId="6D03FFC9" w:rsidR="001448AE" w:rsidRDefault="001448AE" w:rsidP="00FF6B55">
            <w:pPr>
              <w:rPr>
                <w:rFonts w:ascii="Arial" w:eastAsia="Times New Roman" w:hAnsi="Arial" w:cs="Arial"/>
                <w:bCs/>
                <w:sz w:val="20"/>
                <w:szCs w:val="20"/>
              </w:rPr>
            </w:pPr>
            <w:r>
              <w:rPr>
                <w:rFonts w:ascii="Arial" w:eastAsia="Times New Roman" w:hAnsi="Arial" w:cs="Arial"/>
                <w:bCs/>
                <w:sz w:val="20"/>
                <w:szCs w:val="20"/>
              </w:rPr>
              <w:t>Section 2.2.5</w:t>
            </w:r>
          </w:p>
        </w:tc>
        <w:tc>
          <w:tcPr>
            <w:tcW w:w="2513" w:type="dxa"/>
          </w:tcPr>
          <w:p w14:paraId="7E227542" w14:textId="674CD846" w:rsidR="001448AE" w:rsidRDefault="001448AE" w:rsidP="00FF6B55">
            <w:pPr>
              <w:rPr>
                <w:rFonts w:ascii="Arial" w:hAnsi="Arial" w:cs="Arial"/>
                <w:w w:val="105"/>
                <w:sz w:val="20"/>
                <w:szCs w:val="20"/>
              </w:rPr>
            </w:pPr>
            <w:r>
              <w:rPr>
                <w:rFonts w:ascii="Arial" w:hAnsi="Arial" w:cs="Arial"/>
                <w:w w:val="105"/>
                <w:sz w:val="20"/>
                <w:szCs w:val="20"/>
              </w:rPr>
              <w:t>3 points</w:t>
            </w:r>
          </w:p>
          <w:p w14:paraId="0A11D365" w14:textId="65251FF5" w:rsidR="001448AE" w:rsidRDefault="001448AE" w:rsidP="00FF6B55">
            <w:pPr>
              <w:rPr>
                <w:rFonts w:ascii="Arial" w:hAnsi="Arial" w:cs="Arial"/>
                <w:w w:val="105"/>
                <w:sz w:val="20"/>
                <w:szCs w:val="20"/>
              </w:rPr>
            </w:pPr>
            <w:r>
              <w:rPr>
                <w:rFonts w:ascii="Arial" w:hAnsi="Arial" w:cs="Arial"/>
                <w:w w:val="105"/>
                <w:sz w:val="20"/>
                <w:szCs w:val="20"/>
              </w:rPr>
              <w:t xml:space="preserve">Correct calculations of formation factor and logically argued explanation for </w:t>
            </w:r>
            <w:r>
              <w:rPr>
                <w:rFonts w:ascii="Arial" w:hAnsi="Arial" w:cs="Arial"/>
                <w:w w:val="105"/>
                <w:sz w:val="20"/>
                <w:szCs w:val="20"/>
              </w:rPr>
              <w:lastRenderedPageBreak/>
              <w:t>deviations from Archie’s Law</w:t>
            </w:r>
          </w:p>
          <w:p w14:paraId="11C7026F" w14:textId="77777777" w:rsidR="001448AE" w:rsidRDefault="001448AE" w:rsidP="00FF6B55">
            <w:pPr>
              <w:rPr>
                <w:rFonts w:ascii="Arial" w:hAnsi="Arial" w:cs="Arial"/>
                <w:w w:val="105"/>
                <w:sz w:val="20"/>
                <w:szCs w:val="20"/>
              </w:rPr>
            </w:pPr>
          </w:p>
          <w:p w14:paraId="5367EDD2" w14:textId="7CDB7BF1" w:rsidR="001448AE" w:rsidRDefault="001448AE" w:rsidP="00FF6B55">
            <w:pPr>
              <w:rPr>
                <w:rFonts w:ascii="Arial" w:hAnsi="Arial" w:cs="Arial"/>
                <w:w w:val="105"/>
                <w:sz w:val="20"/>
                <w:szCs w:val="20"/>
              </w:rPr>
            </w:pPr>
          </w:p>
        </w:tc>
        <w:tc>
          <w:tcPr>
            <w:tcW w:w="2580" w:type="dxa"/>
          </w:tcPr>
          <w:p w14:paraId="17D9DC7D" w14:textId="77777777" w:rsidR="001448AE" w:rsidRDefault="001448AE" w:rsidP="00FF6B55">
            <w:pPr>
              <w:rPr>
                <w:rFonts w:ascii="Arial" w:hAnsi="Arial" w:cs="Arial"/>
                <w:spacing w:val="1"/>
                <w:w w:val="105"/>
                <w:sz w:val="20"/>
                <w:szCs w:val="20"/>
              </w:rPr>
            </w:pPr>
            <w:r>
              <w:rPr>
                <w:rFonts w:ascii="Arial" w:hAnsi="Arial" w:cs="Arial"/>
                <w:spacing w:val="1"/>
                <w:w w:val="105"/>
                <w:sz w:val="20"/>
                <w:szCs w:val="20"/>
              </w:rPr>
              <w:lastRenderedPageBreak/>
              <w:t>2 points:</w:t>
            </w:r>
          </w:p>
          <w:p w14:paraId="427ADDED" w14:textId="4D947A5C" w:rsidR="001448AE" w:rsidRDefault="001448AE" w:rsidP="001448AE">
            <w:pPr>
              <w:rPr>
                <w:rFonts w:ascii="Arial" w:hAnsi="Arial" w:cs="Arial"/>
                <w:w w:val="105"/>
                <w:sz w:val="20"/>
                <w:szCs w:val="20"/>
              </w:rPr>
            </w:pPr>
            <w:r>
              <w:rPr>
                <w:rFonts w:ascii="Arial" w:hAnsi="Arial" w:cs="Arial"/>
                <w:spacing w:val="1"/>
                <w:w w:val="105"/>
                <w:sz w:val="20"/>
                <w:szCs w:val="20"/>
              </w:rPr>
              <w:t xml:space="preserve">Correct calculations of formation </w:t>
            </w:r>
            <w:r>
              <w:rPr>
                <w:rFonts w:ascii="Arial" w:hAnsi="Arial" w:cs="Arial"/>
                <w:w w:val="105"/>
                <w:sz w:val="20"/>
                <w:szCs w:val="20"/>
              </w:rPr>
              <w:t xml:space="preserve"> factor or logically argued explanation for </w:t>
            </w:r>
            <w:r>
              <w:rPr>
                <w:rFonts w:ascii="Arial" w:hAnsi="Arial" w:cs="Arial"/>
                <w:w w:val="105"/>
                <w:sz w:val="20"/>
                <w:szCs w:val="20"/>
              </w:rPr>
              <w:lastRenderedPageBreak/>
              <w:t>deviations from Archie’s Law</w:t>
            </w:r>
          </w:p>
          <w:p w14:paraId="551B75EB" w14:textId="7EA0AD14" w:rsidR="001448AE" w:rsidRDefault="001448AE" w:rsidP="00FF6B55">
            <w:pPr>
              <w:rPr>
                <w:rFonts w:ascii="Arial" w:hAnsi="Arial" w:cs="Arial"/>
                <w:spacing w:val="1"/>
                <w:w w:val="105"/>
                <w:sz w:val="20"/>
                <w:szCs w:val="20"/>
              </w:rPr>
            </w:pPr>
          </w:p>
        </w:tc>
        <w:tc>
          <w:tcPr>
            <w:tcW w:w="2580" w:type="dxa"/>
          </w:tcPr>
          <w:p w14:paraId="0E962507" w14:textId="523563FB" w:rsidR="001448AE" w:rsidRDefault="001448AE" w:rsidP="001448AE">
            <w:pPr>
              <w:pStyle w:val="ListParagraph"/>
              <w:numPr>
                <w:ilvl w:val="1"/>
                <w:numId w:val="10"/>
              </w:numPr>
              <w:rPr>
                <w:rFonts w:ascii="Arial" w:hAnsi="Arial" w:cs="Arial"/>
                <w:spacing w:val="-1"/>
                <w:w w:val="105"/>
                <w:sz w:val="20"/>
                <w:szCs w:val="20"/>
              </w:rPr>
            </w:pPr>
            <w:r w:rsidRPr="001448AE">
              <w:rPr>
                <w:rFonts w:ascii="Arial" w:hAnsi="Arial" w:cs="Arial"/>
                <w:spacing w:val="-1"/>
                <w:w w:val="105"/>
                <w:sz w:val="20"/>
                <w:szCs w:val="20"/>
              </w:rPr>
              <w:lastRenderedPageBreak/>
              <w:t>Point</w:t>
            </w:r>
          </w:p>
          <w:p w14:paraId="1987900A" w14:textId="7A63A208" w:rsidR="001448AE" w:rsidRPr="001448AE" w:rsidRDefault="001448AE" w:rsidP="001448AE">
            <w:pPr>
              <w:rPr>
                <w:rFonts w:ascii="Arial" w:hAnsi="Arial" w:cs="Arial"/>
                <w:spacing w:val="-1"/>
                <w:w w:val="105"/>
                <w:sz w:val="20"/>
                <w:szCs w:val="20"/>
              </w:rPr>
            </w:pPr>
            <w:r>
              <w:rPr>
                <w:rFonts w:ascii="Arial" w:hAnsi="Arial" w:cs="Arial"/>
                <w:spacing w:val="-1"/>
                <w:w w:val="105"/>
                <w:sz w:val="20"/>
                <w:szCs w:val="20"/>
              </w:rPr>
              <w:t>Some attempt at questions but largely incorrect answers</w:t>
            </w:r>
          </w:p>
        </w:tc>
      </w:tr>
    </w:tbl>
    <w:p w14:paraId="30FD8872" w14:textId="142C5F25" w:rsidR="00FF6B55" w:rsidRDefault="00FF6B55" w:rsidP="002E4F69">
      <w:pPr>
        <w:rPr>
          <w:rFonts w:ascii="Arial" w:hAnsi="Arial" w:cstheme="majorBidi"/>
          <w:w w:val="110"/>
          <w:szCs w:val="28"/>
        </w:rPr>
      </w:pPr>
    </w:p>
    <w:p w14:paraId="054AC24C" w14:textId="392D27EA" w:rsidR="00187249" w:rsidRDefault="00D4543E" w:rsidP="002E4F69">
      <w:pPr>
        <w:rPr>
          <w:rFonts w:ascii="Arial" w:hAnsi="Arial" w:cstheme="majorBidi"/>
          <w:w w:val="110"/>
          <w:szCs w:val="28"/>
        </w:rPr>
      </w:pPr>
      <w:r w:rsidRPr="00D4543E">
        <w:rPr>
          <w:rFonts w:ascii="Arial" w:hAnsi="Arial" w:cstheme="majorBidi"/>
          <w:b/>
          <w:bCs/>
          <w:w w:val="110"/>
          <w:szCs w:val="28"/>
        </w:rPr>
        <w:t>1.4 References</w:t>
      </w:r>
    </w:p>
    <w:p w14:paraId="5BD8C596" w14:textId="2962C10A" w:rsidR="009B18C3" w:rsidRPr="009B18C3" w:rsidRDefault="009B18C3" w:rsidP="009B18C3">
      <w:pPr>
        <w:widowControl w:val="0"/>
        <w:autoSpaceDE w:val="0"/>
        <w:autoSpaceDN w:val="0"/>
        <w:adjustRightInd w:val="0"/>
        <w:rPr>
          <w:noProof/>
          <w:sz w:val="22"/>
          <w:szCs w:val="22"/>
        </w:rPr>
      </w:pPr>
      <w:r>
        <w:rPr>
          <w:rFonts w:ascii="Arial" w:hAnsi="Arial" w:cstheme="majorBidi"/>
          <w:w w:val="110"/>
          <w:szCs w:val="28"/>
        </w:rPr>
        <w:fldChar w:fldCharType="begin" w:fldLock="1"/>
      </w:r>
      <w:r>
        <w:rPr>
          <w:rFonts w:ascii="Arial" w:hAnsi="Arial" w:cstheme="majorBidi"/>
          <w:w w:val="110"/>
          <w:szCs w:val="28"/>
        </w:rPr>
        <w:instrText xml:space="preserve">ADDIN Mendeley Bibliography CSL_BIBLIOGRAPHY </w:instrText>
      </w:r>
      <w:r>
        <w:rPr>
          <w:rFonts w:ascii="Arial" w:hAnsi="Arial" w:cstheme="majorBidi"/>
          <w:w w:val="110"/>
          <w:szCs w:val="28"/>
        </w:rPr>
        <w:fldChar w:fldCharType="separate"/>
      </w:r>
      <w:r w:rsidRPr="009B18C3">
        <w:rPr>
          <w:noProof/>
          <w:sz w:val="22"/>
          <w:szCs w:val="22"/>
        </w:rPr>
        <w:t xml:space="preserve">Archie, G. E. (1942) ‘The electrical resistivity log as an aid in determining some reservoir characteristics’, </w:t>
      </w:r>
      <w:r w:rsidRPr="009B18C3">
        <w:rPr>
          <w:i/>
          <w:iCs/>
          <w:noProof/>
          <w:sz w:val="22"/>
          <w:szCs w:val="22"/>
        </w:rPr>
        <w:t>Trans. Am. Inst. Min. Metall. Pet. Eng.</w:t>
      </w:r>
      <w:r w:rsidRPr="009B18C3">
        <w:rPr>
          <w:noProof/>
          <w:sz w:val="22"/>
          <w:szCs w:val="22"/>
        </w:rPr>
        <w:t>, 146, pp. 54–62.</w:t>
      </w:r>
    </w:p>
    <w:p w14:paraId="2620E0B0" w14:textId="77777777" w:rsidR="009B18C3" w:rsidRPr="009B18C3" w:rsidRDefault="009B18C3" w:rsidP="009B18C3">
      <w:pPr>
        <w:widowControl w:val="0"/>
        <w:autoSpaceDE w:val="0"/>
        <w:autoSpaceDN w:val="0"/>
        <w:adjustRightInd w:val="0"/>
        <w:rPr>
          <w:noProof/>
          <w:sz w:val="22"/>
          <w:szCs w:val="22"/>
        </w:rPr>
      </w:pPr>
      <w:r w:rsidRPr="009B18C3">
        <w:rPr>
          <w:noProof/>
          <w:sz w:val="22"/>
          <w:szCs w:val="22"/>
        </w:rPr>
        <w:t xml:space="preserve">Grunat, D. a., Slater, L. D. and Wehrer, M. (2013) ‘Complex Electrical Measurements on an Undisturbed Soil Core: Evidence for Improved Estimation of Saturation Degree from Imaginary Conductivity’, </w:t>
      </w:r>
      <w:r w:rsidRPr="009B18C3">
        <w:rPr>
          <w:i/>
          <w:iCs/>
          <w:noProof/>
          <w:sz w:val="22"/>
          <w:szCs w:val="22"/>
        </w:rPr>
        <w:t>Vadose Zone Journal</w:t>
      </w:r>
      <w:r w:rsidRPr="009B18C3">
        <w:rPr>
          <w:noProof/>
          <w:sz w:val="22"/>
          <w:szCs w:val="22"/>
        </w:rPr>
        <w:t>, 12(4). doi: 10.2136/vzj2013.03.0059.</w:t>
      </w:r>
    </w:p>
    <w:p w14:paraId="56588791" w14:textId="77777777" w:rsidR="009B18C3" w:rsidRPr="009B18C3" w:rsidRDefault="009B18C3" w:rsidP="009B18C3">
      <w:pPr>
        <w:widowControl w:val="0"/>
        <w:autoSpaceDE w:val="0"/>
        <w:autoSpaceDN w:val="0"/>
        <w:adjustRightInd w:val="0"/>
        <w:rPr>
          <w:noProof/>
          <w:sz w:val="22"/>
          <w:szCs w:val="22"/>
        </w:rPr>
      </w:pPr>
      <w:r w:rsidRPr="009B18C3">
        <w:rPr>
          <w:noProof/>
          <w:sz w:val="22"/>
          <w:szCs w:val="22"/>
        </w:rPr>
        <w:t xml:space="preserve">Rink, M. and Schopper, J. R. (1974) ‘Interface conductivity and its implications to electric logging’, in </w:t>
      </w:r>
      <w:r w:rsidRPr="009B18C3">
        <w:rPr>
          <w:i/>
          <w:iCs/>
          <w:noProof/>
          <w:sz w:val="22"/>
          <w:szCs w:val="22"/>
        </w:rPr>
        <w:t>SPWLA 15th Annual Logging Symposium</w:t>
      </w:r>
      <w:r w:rsidRPr="009B18C3">
        <w:rPr>
          <w:noProof/>
          <w:sz w:val="22"/>
          <w:szCs w:val="22"/>
        </w:rPr>
        <w:t>.</w:t>
      </w:r>
    </w:p>
    <w:p w14:paraId="1D55B865" w14:textId="77777777" w:rsidR="009B18C3" w:rsidRPr="009B18C3" w:rsidRDefault="009B18C3" w:rsidP="009B18C3">
      <w:pPr>
        <w:widowControl w:val="0"/>
        <w:autoSpaceDE w:val="0"/>
        <w:autoSpaceDN w:val="0"/>
        <w:adjustRightInd w:val="0"/>
        <w:rPr>
          <w:noProof/>
          <w:sz w:val="22"/>
          <w:szCs w:val="22"/>
        </w:rPr>
      </w:pPr>
      <w:r w:rsidRPr="009B18C3">
        <w:rPr>
          <w:noProof/>
          <w:sz w:val="22"/>
          <w:szCs w:val="22"/>
        </w:rPr>
        <w:t xml:space="preserve">Slater, L., Barrash, W., Montrey, J. and Binley, A. (2014) ‘Electrical-hydraulic relationships observed for unconsolidated sediments in the presence of a cobble framework’, </w:t>
      </w:r>
      <w:r w:rsidRPr="009B18C3">
        <w:rPr>
          <w:i/>
          <w:iCs/>
          <w:noProof/>
          <w:sz w:val="22"/>
          <w:szCs w:val="22"/>
        </w:rPr>
        <w:t>Water Resources Research</w:t>
      </w:r>
      <w:r w:rsidRPr="009B18C3">
        <w:rPr>
          <w:noProof/>
          <w:sz w:val="22"/>
          <w:szCs w:val="22"/>
        </w:rPr>
        <w:t>, 50(7), pp. 5721–5742. doi: 10.1002/2013WR014631.</w:t>
      </w:r>
    </w:p>
    <w:p w14:paraId="7C8FB1AF" w14:textId="77777777" w:rsidR="009B18C3" w:rsidRPr="009B18C3" w:rsidRDefault="009B18C3" w:rsidP="009B18C3">
      <w:pPr>
        <w:widowControl w:val="0"/>
        <w:autoSpaceDE w:val="0"/>
        <w:autoSpaceDN w:val="0"/>
        <w:adjustRightInd w:val="0"/>
        <w:rPr>
          <w:rFonts w:ascii="Arial" w:hAnsi="Arial" w:cs="Arial"/>
          <w:noProof/>
        </w:rPr>
      </w:pPr>
      <w:r w:rsidRPr="009B18C3">
        <w:rPr>
          <w:noProof/>
          <w:sz w:val="22"/>
          <w:szCs w:val="22"/>
        </w:rPr>
        <w:t xml:space="preserve">Slater, L. and Lesmes, D. P. (2002) ‘Electrical-hydraulic relationships observed for unconsolidated sediments’, </w:t>
      </w:r>
      <w:r w:rsidRPr="009B18C3">
        <w:rPr>
          <w:i/>
          <w:iCs/>
          <w:noProof/>
          <w:sz w:val="22"/>
          <w:szCs w:val="22"/>
        </w:rPr>
        <w:t>Water Resources Research</w:t>
      </w:r>
      <w:r w:rsidRPr="009B18C3">
        <w:rPr>
          <w:noProof/>
          <w:sz w:val="22"/>
          <w:szCs w:val="22"/>
        </w:rPr>
        <w:t>, 38(10), pp. 1–13. doi: 10.1029/2001WR001075</w:t>
      </w:r>
      <w:r w:rsidRPr="009B18C3">
        <w:rPr>
          <w:rFonts w:ascii="Arial" w:hAnsi="Arial" w:cs="Arial"/>
          <w:noProof/>
        </w:rPr>
        <w:t>.</w:t>
      </w:r>
    </w:p>
    <w:p w14:paraId="1461140D" w14:textId="3183D3D8" w:rsidR="00D4543E" w:rsidRPr="00D4543E" w:rsidRDefault="009B18C3" w:rsidP="002E4F69">
      <w:pPr>
        <w:rPr>
          <w:rFonts w:ascii="Arial" w:hAnsi="Arial" w:cstheme="majorBidi"/>
          <w:w w:val="110"/>
          <w:szCs w:val="28"/>
        </w:rPr>
      </w:pPr>
      <w:r>
        <w:rPr>
          <w:rFonts w:ascii="Arial" w:hAnsi="Arial" w:cstheme="majorBidi"/>
          <w:w w:val="110"/>
          <w:szCs w:val="28"/>
        </w:rPr>
        <w:fldChar w:fldCharType="end"/>
      </w:r>
    </w:p>
    <w:sectPr w:rsidR="00D4543E" w:rsidRPr="00D4543E" w:rsidSect="006C674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0D60" w14:textId="77777777" w:rsidR="00321425" w:rsidRDefault="00321425" w:rsidP="008D0B9B">
      <w:r>
        <w:separator/>
      </w:r>
    </w:p>
  </w:endnote>
  <w:endnote w:type="continuationSeparator" w:id="0">
    <w:p w14:paraId="72668793" w14:textId="77777777" w:rsidR="00321425" w:rsidRDefault="00321425" w:rsidP="008D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BCF2" w14:textId="77777777" w:rsidR="00795FF5" w:rsidRDefault="00795FF5" w:rsidP="00DE5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66CD3" w14:textId="77777777" w:rsidR="00795FF5" w:rsidRDefault="00795FF5" w:rsidP="00222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DA5E" w14:textId="77777777" w:rsidR="00E6295A" w:rsidRDefault="00E6295A" w:rsidP="00E6295A">
    <w:pPr>
      <w:pStyle w:val="footertext"/>
      <w:rPr>
        <w:noProof/>
      </w:rPr>
    </w:pPr>
    <w:r w:rsidRPr="00A1626C">
      <w:t>Quest</w:t>
    </w:r>
    <w:r>
      <w:t xml:space="preserve">ions or comments please contact </w:t>
    </w:r>
    <w:r>
      <w:rPr>
        <w:u w:val="single"/>
      </w:rPr>
      <w:t>IRIS email</w:t>
    </w:r>
    <w:r w:rsidRPr="008F6116">
      <w:t xml:space="preserve"> </w:t>
    </w:r>
    <w:r>
      <w:t xml:space="preserve">or  </w:t>
    </w:r>
    <w:r>
      <w:rPr>
        <w:u w:val="single"/>
      </w:rPr>
      <w:t>contact@email.edu</w:t>
    </w:r>
    <w:r>
      <w:tab/>
      <w:t xml:space="preserve">Page </w:t>
    </w:r>
    <w:r w:rsidRPr="00070ABA">
      <w:fldChar w:fldCharType="begin"/>
    </w:r>
    <w:r w:rsidRPr="00070ABA">
      <w:instrText xml:space="preserve"> PAGE   \* MERGEFORMAT </w:instrText>
    </w:r>
    <w:r w:rsidRPr="00070ABA">
      <w:fldChar w:fldCharType="separate"/>
    </w:r>
    <w:r>
      <w:t>1</w:t>
    </w:r>
    <w:r w:rsidRPr="00070ABA">
      <w:rPr>
        <w:noProof/>
      </w:rPr>
      <w:fldChar w:fldCharType="end"/>
    </w:r>
  </w:p>
  <w:p w14:paraId="75C7ECD4" w14:textId="3F36D38A" w:rsidR="00795FF5" w:rsidRPr="00E6295A" w:rsidRDefault="00E6295A" w:rsidP="00E6295A">
    <w:pPr>
      <w:pStyle w:val="footertext"/>
      <w:spacing w:line="220" w:lineRule="exact"/>
    </w:pPr>
    <w:r>
      <w:rPr>
        <w:noProof/>
      </w:rPr>
      <w:t>Version 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9D9C" w14:textId="4511A514" w:rsidR="00795FF5" w:rsidRDefault="00795FF5" w:rsidP="006C674F">
    <w:pPr>
      <w:pStyle w:val="footertext"/>
      <w:rPr>
        <w:noProof/>
      </w:rPr>
    </w:pPr>
    <w:r w:rsidRPr="00A1626C">
      <w:t>Quest</w:t>
    </w:r>
    <w:r>
      <w:t xml:space="preserve">ions or comments please contact </w:t>
    </w:r>
    <w:r w:rsidR="00E6295A">
      <w:rPr>
        <w:u w:val="single"/>
      </w:rPr>
      <w:t>IRIS email</w:t>
    </w:r>
    <w:r w:rsidRPr="008F6116">
      <w:t xml:space="preserve"> </w:t>
    </w:r>
    <w:r>
      <w:t xml:space="preserve">or  </w:t>
    </w:r>
    <w:r w:rsidR="00E6295A">
      <w:rPr>
        <w:u w:val="single"/>
      </w:rPr>
      <w:t>contact@email.edu</w:t>
    </w:r>
    <w:r>
      <w:tab/>
      <w:t xml:space="preserve">Page </w:t>
    </w:r>
    <w:r w:rsidRPr="00070ABA">
      <w:fldChar w:fldCharType="begin"/>
    </w:r>
    <w:r w:rsidRPr="00070ABA">
      <w:instrText xml:space="preserve"> PAGE   \* MERGEFORMAT </w:instrText>
    </w:r>
    <w:r w:rsidRPr="00070ABA">
      <w:fldChar w:fldCharType="separate"/>
    </w:r>
    <w:r w:rsidR="00D6663C">
      <w:rPr>
        <w:noProof/>
      </w:rPr>
      <w:t>1</w:t>
    </w:r>
    <w:r w:rsidRPr="00070ABA">
      <w:rPr>
        <w:noProof/>
      </w:rPr>
      <w:fldChar w:fldCharType="end"/>
    </w:r>
  </w:p>
  <w:p w14:paraId="34FD12BC" w14:textId="34C350FE" w:rsidR="00795FF5" w:rsidRPr="006B3910" w:rsidRDefault="00795FF5" w:rsidP="00276BB4">
    <w:pPr>
      <w:pStyle w:val="footertext"/>
      <w:spacing w:line="220" w:lineRule="exact"/>
    </w:pPr>
    <w:r>
      <w:rPr>
        <w:noProof/>
      </w:rPr>
      <w:t xml:space="preserve">Version </w:t>
    </w:r>
    <w:r w:rsidR="00E6295A">
      <w:rPr>
        <w:noProof/>
      </w:rP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99C8" w14:textId="77777777" w:rsidR="00321425" w:rsidRDefault="00321425" w:rsidP="008D0B9B">
      <w:r>
        <w:separator/>
      </w:r>
    </w:p>
  </w:footnote>
  <w:footnote w:type="continuationSeparator" w:id="0">
    <w:p w14:paraId="6B67811D" w14:textId="77777777" w:rsidR="00321425" w:rsidRDefault="00321425" w:rsidP="008D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826B" w14:textId="77777777" w:rsidR="0053624B" w:rsidRDefault="00536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9F08" w14:textId="3F980666" w:rsidR="00795FF5" w:rsidRPr="0015703B" w:rsidRDefault="00795FF5" w:rsidP="00070ABA">
    <w:pPr>
      <w:pStyle w:val="Header"/>
      <w:pBdr>
        <w:bottom w:val="single" w:sz="4" w:space="1" w:color="auto"/>
      </w:pBdr>
      <w:spacing w:after="0"/>
      <w:rPr>
        <w:rFonts w:ascii="Arial" w:hAnsi="Arial"/>
        <w:i/>
        <w:color w:val="7F7F7F" w:themeColor="text1" w:themeTint="80"/>
        <w:sz w:val="20"/>
        <w:szCs w:val="20"/>
      </w:rPr>
    </w:pPr>
    <w:r>
      <w:rPr>
        <w:rFonts w:ascii="Arial" w:hAnsi="Arial"/>
        <w:i/>
        <w:noProof/>
        <w:color w:val="7F7F7F" w:themeColor="text1" w:themeTint="80"/>
        <w:sz w:val="20"/>
        <w:szCs w:val="20"/>
      </w:rPr>
      <w:drawing>
        <wp:anchor distT="0" distB="0" distL="114300" distR="114300" simplePos="0" relativeHeight="251660288" behindDoc="0" locked="0" layoutInCell="1" allowOverlap="1" wp14:anchorId="25396988" wp14:editId="2A50ECB4">
          <wp:simplePos x="0" y="0"/>
          <wp:positionH relativeFrom="column">
            <wp:posOffset>5572126</wp:posOffset>
          </wp:positionH>
          <wp:positionV relativeFrom="paragraph">
            <wp:posOffset>-200025</wp:posOffset>
          </wp:positionV>
          <wp:extent cx="361950" cy="34747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SI_title.png"/>
                  <pic:cNvPicPr/>
                </pic:nvPicPr>
                <pic:blipFill rotWithShape="1">
                  <a:blip r:embed="rId1"/>
                  <a:srcRect r="65163" b="-53"/>
                  <a:stretch/>
                </pic:blipFill>
                <pic:spPr bwMode="auto">
                  <a:xfrm>
                    <a:off x="0" y="0"/>
                    <a:ext cx="373227" cy="3582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i/>
        <w:sz w:val="20"/>
        <w:szCs w:val="20"/>
      </w:rPr>
      <w:t xml:space="preserve">Unit </w:t>
    </w:r>
    <w:r w:rsidR="0053624B">
      <w:rPr>
        <w:rFonts w:ascii="Arial" w:hAnsi="Arial"/>
        <w:i/>
        <w:sz w:val="20"/>
        <w:szCs w:val="20"/>
      </w:rPr>
      <w:t>2</w:t>
    </w:r>
    <w:r>
      <w:rPr>
        <w:rFonts w:ascii="Arial" w:hAnsi="Arial"/>
        <w:i/>
        <w:sz w:val="20"/>
        <w:szCs w:val="20"/>
      </w:rPr>
      <w:t xml:space="preserve"> student exercise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23C7" w14:textId="77777777" w:rsidR="00795FF5" w:rsidRDefault="00795FF5">
    <w:pPr>
      <w:pStyle w:val="Header"/>
    </w:pPr>
    <w:r>
      <w:rPr>
        <w:noProof/>
      </w:rPr>
      <w:drawing>
        <wp:inline distT="0" distB="0" distL="0" distR="0" wp14:anchorId="5632FD33" wp14:editId="12274440">
          <wp:extent cx="5943600" cy="4457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SI_banner_narow.png"/>
                  <pic:cNvPicPr/>
                </pic:nvPicPr>
                <pic:blipFill>
                  <a:blip r:embed="rId1"/>
                  <a:stretch>
                    <a:fillRect/>
                  </a:stretch>
                </pic:blipFill>
                <pic:spPr>
                  <a:xfrm>
                    <a:off x="0" y="0"/>
                    <a:ext cx="5943600" cy="445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484A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9F175A"/>
    <w:multiLevelType w:val="hybridMultilevel"/>
    <w:tmpl w:val="17A0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05076"/>
    <w:multiLevelType w:val="hybridMultilevel"/>
    <w:tmpl w:val="F1E4728A"/>
    <w:lvl w:ilvl="0" w:tplc="BBC8913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2170B"/>
    <w:multiLevelType w:val="hybridMultilevel"/>
    <w:tmpl w:val="555AB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27068"/>
    <w:multiLevelType w:val="hybridMultilevel"/>
    <w:tmpl w:val="EB76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C1A07"/>
    <w:multiLevelType w:val="hybridMultilevel"/>
    <w:tmpl w:val="C2B8A0E4"/>
    <w:lvl w:ilvl="0" w:tplc="EC028A6A">
      <w:start w:val="1"/>
      <w:numFmt w:val="upperLetter"/>
      <w:pStyle w:val="ListParagraph"/>
      <w:lvlText w:val="%1."/>
      <w:lvlJc w:val="left"/>
      <w:pPr>
        <w:ind w:left="720" w:hanging="360"/>
      </w:pPr>
      <w:rPr>
        <w:rFonts w:ascii="Times New Roman" w:eastAsia="MS Mincho"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0219C"/>
    <w:multiLevelType w:val="hybridMultilevel"/>
    <w:tmpl w:val="34A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22DAB"/>
    <w:multiLevelType w:val="hybridMultilevel"/>
    <w:tmpl w:val="6E00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11978"/>
    <w:multiLevelType w:val="multilevel"/>
    <w:tmpl w:val="B07E494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7"/>
  </w:num>
  <w:num w:numId="5">
    <w:abstractNumId w:val="6"/>
  </w:num>
  <w:num w:numId="6">
    <w:abstractNumId w:val="5"/>
  </w:num>
  <w:num w:numId="7">
    <w:abstractNumId w:val="2"/>
  </w:num>
  <w:num w:numId="8">
    <w:abstractNumId w:val="5"/>
    <w:lvlOverride w:ilvl="0">
      <w:startOverride w:val="1"/>
    </w:lvlOverride>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4"/>
    <w:rsid w:val="00014336"/>
    <w:rsid w:val="00020D3F"/>
    <w:rsid w:val="00021419"/>
    <w:rsid w:val="000467CD"/>
    <w:rsid w:val="000544AE"/>
    <w:rsid w:val="000657D4"/>
    <w:rsid w:val="00070ABA"/>
    <w:rsid w:val="00073F03"/>
    <w:rsid w:val="00083F5A"/>
    <w:rsid w:val="000A1373"/>
    <w:rsid w:val="000A2BDE"/>
    <w:rsid w:val="000B4146"/>
    <w:rsid w:val="000C34F5"/>
    <w:rsid w:val="000E49E2"/>
    <w:rsid w:val="000F7679"/>
    <w:rsid w:val="00105570"/>
    <w:rsid w:val="00105B8D"/>
    <w:rsid w:val="00107DF0"/>
    <w:rsid w:val="00112978"/>
    <w:rsid w:val="00134974"/>
    <w:rsid w:val="00143C67"/>
    <w:rsid w:val="001448AE"/>
    <w:rsid w:val="0015703B"/>
    <w:rsid w:val="00162E02"/>
    <w:rsid w:val="001748DB"/>
    <w:rsid w:val="00181937"/>
    <w:rsid w:val="00187249"/>
    <w:rsid w:val="001902F7"/>
    <w:rsid w:val="001906C9"/>
    <w:rsid w:val="0019721E"/>
    <w:rsid w:val="001E240C"/>
    <w:rsid w:val="001E510B"/>
    <w:rsid w:val="001F2F1D"/>
    <w:rsid w:val="00210E18"/>
    <w:rsid w:val="00222B89"/>
    <w:rsid w:val="00223B86"/>
    <w:rsid w:val="0024069B"/>
    <w:rsid w:val="00241FD8"/>
    <w:rsid w:val="0024248B"/>
    <w:rsid w:val="00250333"/>
    <w:rsid w:val="00253AED"/>
    <w:rsid w:val="00266649"/>
    <w:rsid w:val="002734AF"/>
    <w:rsid w:val="00276BB4"/>
    <w:rsid w:val="00293974"/>
    <w:rsid w:val="002B1E80"/>
    <w:rsid w:val="002E39CF"/>
    <w:rsid w:val="002E4F69"/>
    <w:rsid w:val="00300968"/>
    <w:rsid w:val="0030106D"/>
    <w:rsid w:val="00307C9D"/>
    <w:rsid w:val="00321425"/>
    <w:rsid w:val="00327B46"/>
    <w:rsid w:val="00334C22"/>
    <w:rsid w:val="00340BD6"/>
    <w:rsid w:val="003439E4"/>
    <w:rsid w:val="003620E9"/>
    <w:rsid w:val="00372CBD"/>
    <w:rsid w:val="00374A03"/>
    <w:rsid w:val="003947D1"/>
    <w:rsid w:val="003A4A06"/>
    <w:rsid w:val="003B054C"/>
    <w:rsid w:val="003B453A"/>
    <w:rsid w:val="003C241F"/>
    <w:rsid w:val="003D755C"/>
    <w:rsid w:val="003E1136"/>
    <w:rsid w:val="003E1F6F"/>
    <w:rsid w:val="003E2BF6"/>
    <w:rsid w:val="003F3A76"/>
    <w:rsid w:val="003F6B46"/>
    <w:rsid w:val="004049DD"/>
    <w:rsid w:val="0041400D"/>
    <w:rsid w:val="0042063A"/>
    <w:rsid w:val="00425454"/>
    <w:rsid w:val="00433C9C"/>
    <w:rsid w:val="00444CCD"/>
    <w:rsid w:val="00450C50"/>
    <w:rsid w:val="00457EB1"/>
    <w:rsid w:val="004720F0"/>
    <w:rsid w:val="00482EA3"/>
    <w:rsid w:val="00487C72"/>
    <w:rsid w:val="004911E5"/>
    <w:rsid w:val="00493F7D"/>
    <w:rsid w:val="00494EAD"/>
    <w:rsid w:val="004A1346"/>
    <w:rsid w:val="004A54EF"/>
    <w:rsid w:val="004B1483"/>
    <w:rsid w:val="004B20D7"/>
    <w:rsid w:val="004C199C"/>
    <w:rsid w:val="004E2ED5"/>
    <w:rsid w:val="004E5466"/>
    <w:rsid w:val="005114C1"/>
    <w:rsid w:val="0051536C"/>
    <w:rsid w:val="00523576"/>
    <w:rsid w:val="0053303E"/>
    <w:rsid w:val="0053624B"/>
    <w:rsid w:val="00536759"/>
    <w:rsid w:val="00540BC5"/>
    <w:rsid w:val="0054669F"/>
    <w:rsid w:val="0054734E"/>
    <w:rsid w:val="00551257"/>
    <w:rsid w:val="00556A3D"/>
    <w:rsid w:val="00556BAE"/>
    <w:rsid w:val="005575C5"/>
    <w:rsid w:val="00584DFA"/>
    <w:rsid w:val="005870CC"/>
    <w:rsid w:val="005A06ED"/>
    <w:rsid w:val="005A2BF5"/>
    <w:rsid w:val="005A5F09"/>
    <w:rsid w:val="005B28D7"/>
    <w:rsid w:val="005C2C57"/>
    <w:rsid w:val="005D7F3B"/>
    <w:rsid w:val="005E428F"/>
    <w:rsid w:val="005E5FA8"/>
    <w:rsid w:val="005F0E50"/>
    <w:rsid w:val="005F442D"/>
    <w:rsid w:val="00611A67"/>
    <w:rsid w:val="00612D76"/>
    <w:rsid w:val="00625D81"/>
    <w:rsid w:val="00630474"/>
    <w:rsid w:val="006404F9"/>
    <w:rsid w:val="00661289"/>
    <w:rsid w:val="006632E3"/>
    <w:rsid w:val="0067261C"/>
    <w:rsid w:val="00680C38"/>
    <w:rsid w:val="00683B93"/>
    <w:rsid w:val="006A231C"/>
    <w:rsid w:val="006B3910"/>
    <w:rsid w:val="006C674F"/>
    <w:rsid w:val="006D1436"/>
    <w:rsid w:val="006D28B2"/>
    <w:rsid w:val="006D4861"/>
    <w:rsid w:val="006D661E"/>
    <w:rsid w:val="006E16DC"/>
    <w:rsid w:val="006F143E"/>
    <w:rsid w:val="006F1AA9"/>
    <w:rsid w:val="006F5B55"/>
    <w:rsid w:val="00714852"/>
    <w:rsid w:val="00714867"/>
    <w:rsid w:val="00720DC6"/>
    <w:rsid w:val="00726BC8"/>
    <w:rsid w:val="00732314"/>
    <w:rsid w:val="0075164D"/>
    <w:rsid w:val="007705CA"/>
    <w:rsid w:val="00794968"/>
    <w:rsid w:val="00795FF5"/>
    <w:rsid w:val="007A0718"/>
    <w:rsid w:val="007A5481"/>
    <w:rsid w:val="007D2785"/>
    <w:rsid w:val="007D6EF1"/>
    <w:rsid w:val="007E0E8C"/>
    <w:rsid w:val="0080428E"/>
    <w:rsid w:val="00822DF7"/>
    <w:rsid w:val="00832075"/>
    <w:rsid w:val="00832E40"/>
    <w:rsid w:val="00833494"/>
    <w:rsid w:val="00834063"/>
    <w:rsid w:val="00835DF4"/>
    <w:rsid w:val="0084315F"/>
    <w:rsid w:val="0086334F"/>
    <w:rsid w:val="008945A5"/>
    <w:rsid w:val="008B0E92"/>
    <w:rsid w:val="008B1B7F"/>
    <w:rsid w:val="008C175C"/>
    <w:rsid w:val="008D0B9B"/>
    <w:rsid w:val="008D739D"/>
    <w:rsid w:val="008E1919"/>
    <w:rsid w:val="008E1F7A"/>
    <w:rsid w:val="008F6116"/>
    <w:rsid w:val="008F7011"/>
    <w:rsid w:val="00912C32"/>
    <w:rsid w:val="0091559F"/>
    <w:rsid w:val="009179F1"/>
    <w:rsid w:val="00933103"/>
    <w:rsid w:val="00943033"/>
    <w:rsid w:val="00965F8C"/>
    <w:rsid w:val="009A6198"/>
    <w:rsid w:val="009B18C3"/>
    <w:rsid w:val="009B7A8D"/>
    <w:rsid w:val="009C0FCD"/>
    <w:rsid w:val="009D0B0D"/>
    <w:rsid w:val="009D10C2"/>
    <w:rsid w:val="009D7AE4"/>
    <w:rsid w:val="009E437A"/>
    <w:rsid w:val="009F14B9"/>
    <w:rsid w:val="00A051F6"/>
    <w:rsid w:val="00A1122F"/>
    <w:rsid w:val="00A13144"/>
    <w:rsid w:val="00A1626C"/>
    <w:rsid w:val="00A25E6D"/>
    <w:rsid w:val="00A3604A"/>
    <w:rsid w:val="00A372AE"/>
    <w:rsid w:val="00A43310"/>
    <w:rsid w:val="00A45D7F"/>
    <w:rsid w:val="00A507E5"/>
    <w:rsid w:val="00A5348A"/>
    <w:rsid w:val="00A63A64"/>
    <w:rsid w:val="00A64993"/>
    <w:rsid w:val="00A66B8D"/>
    <w:rsid w:val="00AA46F5"/>
    <w:rsid w:val="00AB25BC"/>
    <w:rsid w:val="00AC2E78"/>
    <w:rsid w:val="00AC56E7"/>
    <w:rsid w:val="00AD2ED6"/>
    <w:rsid w:val="00AD5AE6"/>
    <w:rsid w:val="00AE0B81"/>
    <w:rsid w:val="00AE5FDE"/>
    <w:rsid w:val="00AF1728"/>
    <w:rsid w:val="00B06A93"/>
    <w:rsid w:val="00B33653"/>
    <w:rsid w:val="00B417FC"/>
    <w:rsid w:val="00B5468C"/>
    <w:rsid w:val="00B613E7"/>
    <w:rsid w:val="00B62289"/>
    <w:rsid w:val="00B73DD9"/>
    <w:rsid w:val="00B84C8B"/>
    <w:rsid w:val="00B86D25"/>
    <w:rsid w:val="00B87C9E"/>
    <w:rsid w:val="00B90E6B"/>
    <w:rsid w:val="00BD7FF7"/>
    <w:rsid w:val="00BE1707"/>
    <w:rsid w:val="00C002B3"/>
    <w:rsid w:val="00C00F8C"/>
    <w:rsid w:val="00C1198A"/>
    <w:rsid w:val="00C13A0E"/>
    <w:rsid w:val="00C441A4"/>
    <w:rsid w:val="00C51E44"/>
    <w:rsid w:val="00C63146"/>
    <w:rsid w:val="00C70872"/>
    <w:rsid w:val="00C76B27"/>
    <w:rsid w:val="00C9384C"/>
    <w:rsid w:val="00CA5A96"/>
    <w:rsid w:val="00CA7E61"/>
    <w:rsid w:val="00CC4763"/>
    <w:rsid w:val="00CF3C06"/>
    <w:rsid w:val="00CF40B9"/>
    <w:rsid w:val="00CF6C62"/>
    <w:rsid w:val="00D01A1A"/>
    <w:rsid w:val="00D07268"/>
    <w:rsid w:val="00D217D0"/>
    <w:rsid w:val="00D2491B"/>
    <w:rsid w:val="00D31244"/>
    <w:rsid w:val="00D4543E"/>
    <w:rsid w:val="00D63412"/>
    <w:rsid w:val="00D6663C"/>
    <w:rsid w:val="00D7206E"/>
    <w:rsid w:val="00D761AF"/>
    <w:rsid w:val="00D87C29"/>
    <w:rsid w:val="00D925AE"/>
    <w:rsid w:val="00D95365"/>
    <w:rsid w:val="00DA305D"/>
    <w:rsid w:val="00DB5130"/>
    <w:rsid w:val="00DB700F"/>
    <w:rsid w:val="00DE5005"/>
    <w:rsid w:val="00DE6632"/>
    <w:rsid w:val="00DF411A"/>
    <w:rsid w:val="00DF4166"/>
    <w:rsid w:val="00E11C61"/>
    <w:rsid w:val="00E14496"/>
    <w:rsid w:val="00E218F9"/>
    <w:rsid w:val="00E27410"/>
    <w:rsid w:val="00E322A2"/>
    <w:rsid w:val="00E375E4"/>
    <w:rsid w:val="00E40533"/>
    <w:rsid w:val="00E5011C"/>
    <w:rsid w:val="00E55EDA"/>
    <w:rsid w:val="00E6295A"/>
    <w:rsid w:val="00E7326F"/>
    <w:rsid w:val="00E7463D"/>
    <w:rsid w:val="00E82C1B"/>
    <w:rsid w:val="00E900F5"/>
    <w:rsid w:val="00E952B6"/>
    <w:rsid w:val="00EB1267"/>
    <w:rsid w:val="00EB6544"/>
    <w:rsid w:val="00ED214C"/>
    <w:rsid w:val="00EE0A76"/>
    <w:rsid w:val="00EE13E8"/>
    <w:rsid w:val="00F066C1"/>
    <w:rsid w:val="00F17FE2"/>
    <w:rsid w:val="00F35F7F"/>
    <w:rsid w:val="00F37159"/>
    <w:rsid w:val="00F414F8"/>
    <w:rsid w:val="00F445CB"/>
    <w:rsid w:val="00F566B0"/>
    <w:rsid w:val="00F56EED"/>
    <w:rsid w:val="00F7667D"/>
    <w:rsid w:val="00FA00A8"/>
    <w:rsid w:val="00FB1766"/>
    <w:rsid w:val="00FC23F6"/>
    <w:rsid w:val="00FE1117"/>
    <w:rsid w:val="00FE69A9"/>
    <w:rsid w:val="00FF5429"/>
    <w:rsid w:val="00FF6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0ED45"/>
  <w14:defaultImageDpi w14:val="330"/>
  <w15:docId w15:val="{D593C3DA-56CE-42B3-ABBB-113D68F2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DD"/>
    <w:pPr>
      <w:spacing w:after="120"/>
    </w:pPr>
    <w:rPr>
      <w:rFonts w:ascii="Times New Roman" w:hAnsi="Times New Roman"/>
      <w:sz w:val="24"/>
      <w:szCs w:val="24"/>
    </w:rPr>
  </w:style>
  <w:style w:type="paragraph" w:styleId="Heading1">
    <w:name w:val="heading 1"/>
    <w:basedOn w:val="Normal"/>
    <w:next w:val="Normal"/>
    <w:link w:val="Heading1Char"/>
    <w:uiPriority w:val="9"/>
    <w:qFormat/>
    <w:rsid w:val="003F6B46"/>
    <w:pPr>
      <w:keepNext/>
      <w:keepLines/>
      <w:spacing w:before="24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4049DD"/>
    <w:pPr>
      <w:keepNext/>
      <w:keepLines/>
      <w:outlineLvl w:val="1"/>
    </w:pPr>
    <w:rPr>
      <w:rFonts w:ascii="Arial" w:eastAsiaTheme="majorEastAsia" w:hAnsi="Arial" w:cstheme="majorBidi"/>
      <w:bCs/>
      <w:i/>
      <w:sz w:val="22"/>
      <w:szCs w:val="26"/>
      <w:u w:val="single"/>
    </w:rPr>
  </w:style>
  <w:style w:type="paragraph" w:styleId="Heading3">
    <w:name w:val="heading 3"/>
    <w:basedOn w:val="Normal"/>
    <w:next w:val="Normal"/>
    <w:link w:val="Heading3Char"/>
    <w:uiPriority w:val="9"/>
    <w:unhideWhenUsed/>
    <w:qFormat/>
    <w:rsid w:val="00083F5A"/>
    <w:pPr>
      <w:keepNext/>
      <w:keepLines/>
      <w:spacing w:before="200" w:after="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083F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198"/>
    <w:rPr>
      <w:rFonts w:ascii="Lucida Grande" w:hAnsi="Lucida Grande" w:cs="Lucida Grande"/>
      <w:sz w:val="18"/>
      <w:szCs w:val="18"/>
    </w:rPr>
  </w:style>
  <w:style w:type="character" w:customStyle="1" w:styleId="BalloonTextChar">
    <w:name w:val="Balloon Text Char"/>
    <w:link w:val="BalloonText"/>
    <w:uiPriority w:val="99"/>
    <w:semiHidden/>
    <w:rsid w:val="009A6198"/>
    <w:rPr>
      <w:rFonts w:ascii="Lucida Grande" w:hAnsi="Lucida Grande" w:cs="Lucida Grande"/>
      <w:sz w:val="18"/>
      <w:szCs w:val="18"/>
    </w:rPr>
  </w:style>
  <w:style w:type="paragraph" w:styleId="Header">
    <w:name w:val="header"/>
    <w:basedOn w:val="Normal"/>
    <w:link w:val="HeaderChar"/>
    <w:uiPriority w:val="99"/>
    <w:unhideWhenUsed/>
    <w:rsid w:val="008D0B9B"/>
    <w:pPr>
      <w:tabs>
        <w:tab w:val="center" w:pos="4320"/>
        <w:tab w:val="right" w:pos="8640"/>
      </w:tabs>
    </w:pPr>
  </w:style>
  <w:style w:type="character" w:customStyle="1" w:styleId="HeaderChar">
    <w:name w:val="Header Char"/>
    <w:link w:val="Header"/>
    <w:uiPriority w:val="99"/>
    <w:rsid w:val="008D0B9B"/>
    <w:rPr>
      <w:sz w:val="24"/>
      <w:szCs w:val="24"/>
    </w:rPr>
  </w:style>
  <w:style w:type="paragraph" w:styleId="Footer">
    <w:name w:val="footer"/>
    <w:basedOn w:val="Normal"/>
    <w:link w:val="FooterChar"/>
    <w:uiPriority w:val="99"/>
    <w:unhideWhenUsed/>
    <w:rsid w:val="008D0B9B"/>
    <w:pPr>
      <w:tabs>
        <w:tab w:val="center" w:pos="4320"/>
        <w:tab w:val="right" w:pos="8640"/>
      </w:tabs>
    </w:pPr>
  </w:style>
  <w:style w:type="character" w:customStyle="1" w:styleId="FooterChar">
    <w:name w:val="Footer Char"/>
    <w:link w:val="Footer"/>
    <w:uiPriority w:val="99"/>
    <w:rsid w:val="008D0B9B"/>
    <w:rPr>
      <w:sz w:val="24"/>
      <w:szCs w:val="24"/>
    </w:rPr>
  </w:style>
  <w:style w:type="character" w:styleId="PageNumber">
    <w:name w:val="page number"/>
    <w:uiPriority w:val="99"/>
    <w:semiHidden/>
    <w:unhideWhenUsed/>
    <w:rsid w:val="00222B89"/>
  </w:style>
  <w:style w:type="character" w:styleId="CommentReference">
    <w:name w:val="annotation reference"/>
    <w:uiPriority w:val="99"/>
    <w:semiHidden/>
    <w:unhideWhenUsed/>
    <w:rsid w:val="004911E5"/>
    <w:rPr>
      <w:sz w:val="16"/>
      <w:szCs w:val="16"/>
    </w:rPr>
  </w:style>
  <w:style w:type="paragraph" w:styleId="CommentText">
    <w:name w:val="annotation text"/>
    <w:basedOn w:val="Normal"/>
    <w:link w:val="CommentTextChar"/>
    <w:uiPriority w:val="99"/>
    <w:semiHidden/>
    <w:unhideWhenUsed/>
    <w:rsid w:val="004911E5"/>
    <w:rPr>
      <w:sz w:val="20"/>
      <w:szCs w:val="20"/>
    </w:rPr>
  </w:style>
  <w:style w:type="character" w:customStyle="1" w:styleId="CommentTextChar">
    <w:name w:val="Comment Text Char"/>
    <w:basedOn w:val="DefaultParagraphFont"/>
    <w:link w:val="CommentText"/>
    <w:uiPriority w:val="99"/>
    <w:semiHidden/>
    <w:rsid w:val="004911E5"/>
  </w:style>
  <w:style w:type="paragraph" w:styleId="CommentSubject">
    <w:name w:val="annotation subject"/>
    <w:basedOn w:val="CommentText"/>
    <w:next w:val="CommentText"/>
    <w:link w:val="CommentSubjectChar"/>
    <w:uiPriority w:val="99"/>
    <w:semiHidden/>
    <w:unhideWhenUsed/>
    <w:rsid w:val="004911E5"/>
    <w:rPr>
      <w:b/>
      <w:bCs/>
    </w:rPr>
  </w:style>
  <w:style w:type="character" w:customStyle="1" w:styleId="CommentSubjectChar">
    <w:name w:val="Comment Subject Char"/>
    <w:link w:val="CommentSubject"/>
    <w:uiPriority w:val="99"/>
    <w:semiHidden/>
    <w:rsid w:val="004911E5"/>
    <w:rPr>
      <w:b/>
      <w:bCs/>
    </w:rPr>
  </w:style>
  <w:style w:type="character" w:styleId="Hyperlink">
    <w:name w:val="Hyperlink"/>
    <w:uiPriority w:val="99"/>
    <w:unhideWhenUsed/>
    <w:rsid w:val="0080428E"/>
    <w:rPr>
      <w:color w:val="0000FF"/>
      <w:u w:val="single"/>
    </w:rPr>
  </w:style>
  <w:style w:type="paragraph" w:customStyle="1" w:styleId="ColorfulShading-Accent11">
    <w:name w:val="Colorful Shading - Accent 11"/>
    <w:hidden/>
    <w:uiPriority w:val="71"/>
    <w:rsid w:val="00C441A4"/>
    <w:rPr>
      <w:sz w:val="24"/>
      <w:szCs w:val="24"/>
    </w:rPr>
  </w:style>
  <w:style w:type="paragraph" w:styleId="Title">
    <w:name w:val="Title"/>
    <w:basedOn w:val="Normal"/>
    <w:next w:val="Normal"/>
    <w:link w:val="TitleChar"/>
    <w:uiPriority w:val="10"/>
    <w:qFormat/>
    <w:rsid w:val="008945A5"/>
    <w:pPr>
      <w:pBdr>
        <w:bottom w:val="single" w:sz="8" w:space="1" w:color="7F7F7F" w:themeColor="text1" w:themeTint="80"/>
      </w:pBdr>
      <w:spacing w:after="60"/>
      <w:contextualSpacing/>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8945A5"/>
    <w:rPr>
      <w:rFonts w:ascii="Arial" w:eastAsiaTheme="majorEastAsia" w:hAnsi="Arial" w:cstheme="majorBidi"/>
      <w:b/>
      <w:spacing w:val="5"/>
      <w:kern w:val="28"/>
      <w:sz w:val="28"/>
      <w:szCs w:val="52"/>
    </w:rPr>
  </w:style>
  <w:style w:type="paragraph" w:customStyle="1" w:styleId="Authortext">
    <w:name w:val="Author text"/>
    <w:basedOn w:val="Normal"/>
    <w:link w:val="AuthortextChar"/>
    <w:qFormat/>
    <w:rsid w:val="008945A5"/>
    <w:pPr>
      <w:spacing w:after="240"/>
    </w:pPr>
    <w:rPr>
      <w:rFonts w:ascii="Arial" w:hAnsi="Arial" w:cs="Arial"/>
      <w:sz w:val="18"/>
      <w:szCs w:val="18"/>
    </w:rPr>
  </w:style>
  <w:style w:type="character" w:customStyle="1" w:styleId="Heading1Char">
    <w:name w:val="Heading 1 Char"/>
    <w:basedOn w:val="DefaultParagraphFont"/>
    <w:link w:val="Heading1"/>
    <w:uiPriority w:val="9"/>
    <w:rsid w:val="003F6B46"/>
    <w:rPr>
      <w:rFonts w:ascii="Arial" w:eastAsiaTheme="majorEastAsia" w:hAnsi="Arial" w:cstheme="majorBidi"/>
      <w:b/>
      <w:bCs/>
      <w:sz w:val="24"/>
      <w:szCs w:val="28"/>
    </w:rPr>
  </w:style>
  <w:style w:type="character" w:customStyle="1" w:styleId="AuthortextChar">
    <w:name w:val="Author text Char"/>
    <w:basedOn w:val="DefaultParagraphFont"/>
    <w:link w:val="Authortext"/>
    <w:rsid w:val="008945A5"/>
    <w:rPr>
      <w:rFonts w:ascii="Arial" w:hAnsi="Arial" w:cs="Arial"/>
      <w:sz w:val="18"/>
      <w:szCs w:val="18"/>
    </w:rPr>
  </w:style>
  <w:style w:type="character" w:customStyle="1" w:styleId="Heading2Char">
    <w:name w:val="Heading 2 Char"/>
    <w:basedOn w:val="DefaultParagraphFont"/>
    <w:link w:val="Heading2"/>
    <w:uiPriority w:val="9"/>
    <w:rsid w:val="004049DD"/>
    <w:rPr>
      <w:rFonts w:ascii="Arial" w:eastAsiaTheme="majorEastAsia" w:hAnsi="Arial" w:cstheme="majorBidi"/>
      <w:bCs/>
      <w:i/>
      <w:sz w:val="22"/>
      <w:szCs w:val="26"/>
      <w:u w:val="single"/>
    </w:rPr>
  </w:style>
  <w:style w:type="paragraph" w:customStyle="1" w:styleId="Captiontext">
    <w:name w:val="Caption text"/>
    <w:basedOn w:val="Normal"/>
    <w:link w:val="CaptiontextChar"/>
    <w:qFormat/>
    <w:rsid w:val="00965F8C"/>
    <w:pPr>
      <w:spacing w:after="0"/>
    </w:pPr>
    <w:rPr>
      <w:rFonts w:ascii="Arial" w:hAnsi="Arial" w:cs="Arial"/>
      <w:sz w:val="20"/>
      <w:szCs w:val="20"/>
    </w:rPr>
  </w:style>
  <w:style w:type="paragraph" w:customStyle="1" w:styleId="footertext">
    <w:name w:val="footer text"/>
    <w:basedOn w:val="Footer"/>
    <w:link w:val="footertextChar"/>
    <w:qFormat/>
    <w:rsid w:val="00276BB4"/>
    <w:pPr>
      <w:pBdr>
        <w:top w:val="single" w:sz="4" w:space="1" w:color="auto"/>
      </w:pBdr>
      <w:tabs>
        <w:tab w:val="clear" w:pos="4320"/>
        <w:tab w:val="clear" w:pos="8640"/>
        <w:tab w:val="right" w:pos="9090"/>
      </w:tabs>
      <w:spacing w:after="0" w:line="360" w:lineRule="exact"/>
    </w:pPr>
    <w:rPr>
      <w:rFonts w:ascii="Arial" w:hAnsi="Arial"/>
      <w:i/>
      <w:sz w:val="18"/>
      <w:szCs w:val="20"/>
    </w:rPr>
  </w:style>
  <w:style w:type="character" w:customStyle="1" w:styleId="CaptiontextChar">
    <w:name w:val="Caption text Char"/>
    <w:basedOn w:val="DefaultParagraphFont"/>
    <w:link w:val="Captiontext"/>
    <w:rsid w:val="00965F8C"/>
    <w:rPr>
      <w:rFonts w:ascii="Arial" w:hAnsi="Arial" w:cs="Arial"/>
    </w:rPr>
  </w:style>
  <w:style w:type="character" w:customStyle="1" w:styleId="footertextChar">
    <w:name w:val="footer text Char"/>
    <w:basedOn w:val="FooterChar"/>
    <w:link w:val="footertext"/>
    <w:rsid w:val="00276BB4"/>
    <w:rPr>
      <w:rFonts w:ascii="Arial" w:hAnsi="Arial"/>
      <w:i/>
      <w:sz w:val="18"/>
      <w:szCs w:val="24"/>
    </w:rPr>
  </w:style>
  <w:style w:type="character" w:customStyle="1" w:styleId="Heading4Char">
    <w:name w:val="Heading 4 Char"/>
    <w:basedOn w:val="DefaultParagraphFont"/>
    <w:link w:val="Heading4"/>
    <w:uiPriority w:val="9"/>
    <w:semiHidden/>
    <w:rsid w:val="00083F5A"/>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rsid w:val="00083F5A"/>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FF6B55"/>
    <w:pPr>
      <w:numPr>
        <w:numId w:val="6"/>
      </w:numPr>
      <w:spacing w:after="0"/>
      <w:contextualSpacing/>
    </w:pPr>
    <w:rPr>
      <w:rFonts w:eastAsiaTheme="minorEastAsia" w:cstheme="minorBidi"/>
    </w:rPr>
  </w:style>
  <w:style w:type="paragraph" w:customStyle="1" w:styleId="Normal1">
    <w:name w:val="Normal1"/>
    <w:rsid w:val="00083F5A"/>
    <w:rPr>
      <w:rFonts w:eastAsia="Cambria" w:cs="Cambria"/>
      <w:color w:val="000000"/>
      <w:sz w:val="22"/>
    </w:rPr>
  </w:style>
  <w:style w:type="table" w:styleId="TableGrid">
    <w:name w:val="Table Grid"/>
    <w:basedOn w:val="TableNormal"/>
    <w:uiPriority w:val="59"/>
    <w:rsid w:val="00FF6B55"/>
    <w:rPr>
      <w:rFonts w:ascii="Times New Roman" w:eastAsiaTheme="minorEastAsia"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0BC5"/>
    <w:pPr>
      <w:spacing w:before="100" w:beforeAutospacing="1" w:after="100" w:afterAutospacing="1"/>
    </w:pPr>
    <w:rPr>
      <w:rFonts w:eastAsia="Times New Roman"/>
    </w:rPr>
  </w:style>
  <w:style w:type="character" w:styleId="PlaceholderText">
    <w:name w:val="Placeholder Text"/>
    <w:basedOn w:val="DefaultParagraphFont"/>
    <w:uiPriority w:val="99"/>
    <w:semiHidden/>
    <w:rsid w:val="0075164D"/>
    <w:rPr>
      <w:color w:val="808080"/>
    </w:rPr>
  </w:style>
  <w:style w:type="character" w:styleId="UnresolvedMention">
    <w:name w:val="Unresolved Mention"/>
    <w:basedOn w:val="DefaultParagraphFont"/>
    <w:uiPriority w:val="99"/>
    <w:semiHidden/>
    <w:unhideWhenUsed/>
    <w:rsid w:val="0043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48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g.org/wiki/Gustavus_Archie"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COHye0a3W9Q"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v=svFSKnmAlKQ"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AED0C-E310-47F7-AF1B-162EC0A4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6</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22452</CharactersWithSpaces>
  <SharedDoc>false</SharedDoc>
  <HLinks>
    <vt:vector size="108" baseType="variant">
      <vt:variant>
        <vt:i4>1245211</vt:i4>
      </vt:variant>
      <vt:variant>
        <vt:i4>57</vt:i4>
      </vt:variant>
      <vt:variant>
        <vt:i4>0</vt:i4>
      </vt:variant>
      <vt:variant>
        <vt:i4>5</vt:i4>
      </vt:variant>
      <vt:variant>
        <vt:lpwstr>http://facility.unavco.org/data/dai2/app/dai2.html%23</vt:lpwstr>
      </vt:variant>
      <vt:variant>
        <vt:lpwstr/>
      </vt:variant>
      <vt:variant>
        <vt:i4>3080239</vt:i4>
      </vt:variant>
      <vt:variant>
        <vt:i4>54</vt:i4>
      </vt:variant>
      <vt:variant>
        <vt:i4>0</vt:i4>
      </vt:variant>
      <vt:variant>
        <vt:i4>5</vt:i4>
      </vt:variant>
      <vt:variant>
        <vt:lpwstr>http://www.unavco.org/</vt:lpwstr>
      </vt:variant>
      <vt:variant>
        <vt:lpwstr/>
      </vt:variant>
      <vt:variant>
        <vt:i4>5046294</vt:i4>
      </vt:variant>
      <vt:variant>
        <vt:i4>51</vt:i4>
      </vt:variant>
      <vt:variant>
        <vt:i4>0</vt:i4>
      </vt:variant>
      <vt:variant>
        <vt:i4>5</vt:i4>
      </vt:variant>
      <vt:variant>
        <vt:lpwstr>http://www.uwgb.edu/dutchs/usefuldata/utmformulas.htm</vt:lpwstr>
      </vt:variant>
      <vt:variant>
        <vt:lpwstr/>
      </vt:variant>
      <vt:variant>
        <vt:i4>655437</vt:i4>
      </vt:variant>
      <vt:variant>
        <vt:i4>48</vt:i4>
      </vt:variant>
      <vt:variant>
        <vt:i4>0</vt:i4>
      </vt:variant>
      <vt:variant>
        <vt:i4>5</vt:i4>
      </vt:variant>
      <vt:variant>
        <vt:lpwstr>http://egsc.usgs.gov/isb/pubs/factsheets/fs07701.html</vt:lpwstr>
      </vt:variant>
      <vt:variant>
        <vt:lpwstr/>
      </vt:variant>
      <vt:variant>
        <vt:i4>1769543</vt:i4>
      </vt:variant>
      <vt:variant>
        <vt:i4>45</vt:i4>
      </vt:variant>
      <vt:variant>
        <vt:i4>0</vt:i4>
      </vt:variant>
      <vt:variant>
        <vt:i4>5</vt:i4>
      </vt:variant>
      <vt:variant>
        <vt:lpwstr>http://en.wikipedia.org/wiki/Universal_Transverse_Mercator_coordinate_system</vt:lpwstr>
      </vt:variant>
      <vt:variant>
        <vt:lpwstr/>
      </vt:variant>
      <vt:variant>
        <vt:i4>1966156</vt:i4>
      </vt:variant>
      <vt:variant>
        <vt:i4>42</vt:i4>
      </vt:variant>
      <vt:variant>
        <vt:i4>0</vt:i4>
      </vt:variant>
      <vt:variant>
        <vt:i4>5</vt:i4>
      </vt:variant>
      <vt:variant>
        <vt:lpwstr>http://facility.unavco.org/data/maps/GPSVelocityViewer/GPSVelocityViewer-frames.html</vt:lpwstr>
      </vt:variant>
      <vt:variant>
        <vt:lpwstr/>
      </vt:variant>
      <vt:variant>
        <vt:i4>6422654</vt:i4>
      </vt:variant>
      <vt:variant>
        <vt:i4>39</vt:i4>
      </vt:variant>
      <vt:variant>
        <vt:i4>0</vt:i4>
      </vt:variant>
      <vt:variant>
        <vt:i4>5</vt:i4>
      </vt:variant>
      <vt:variant>
        <vt:lpwstr>http://www.unavco.org/community_science/workinggroups_projects/snarf/snarf.html</vt:lpwstr>
      </vt:variant>
      <vt:variant>
        <vt:lpwstr/>
      </vt:variant>
      <vt:variant>
        <vt:i4>3145786</vt:i4>
      </vt:variant>
      <vt:variant>
        <vt:i4>36</vt:i4>
      </vt:variant>
      <vt:variant>
        <vt:i4>0</vt:i4>
      </vt:variant>
      <vt:variant>
        <vt:i4>5</vt:i4>
      </vt:variant>
      <vt:variant>
        <vt:lpwstr>http://pbo.unavco.org/</vt:lpwstr>
      </vt:variant>
      <vt:variant>
        <vt:lpwstr/>
      </vt:variant>
      <vt:variant>
        <vt:i4>5701716</vt:i4>
      </vt:variant>
      <vt:variant>
        <vt:i4>33</vt:i4>
      </vt:variant>
      <vt:variant>
        <vt:i4>0</vt:i4>
      </vt:variant>
      <vt:variant>
        <vt:i4>5</vt:i4>
      </vt:variant>
      <vt:variant>
        <vt:lpwstr>http://pbo.unavco.org/index.php/station/data/P150</vt:lpwstr>
      </vt:variant>
      <vt:variant>
        <vt:lpwstr/>
      </vt:variant>
      <vt:variant>
        <vt:i4>1966156</vt:i4>
      </vt:variant>
      <vt:variant>
        <vt:i4>24</vt:i4>
      </vt:variant>
      <vt:variant>
        <vt:i4>0</vt:i4>
      </vt:variant>
      <vt:variant>
        <vt:i4>5</vt:i4>
      </vt:variant>
      <vt:variant>
        <vt:lpwstr>http://facility.unavco.org/data/maps/GPSVelocityViewer/GPSVelocityViewer-frames.html</vt:lpwstr>
      </vt:variant>
      <vt:variant>
        <vt:lpwstr/>
      </vt:variant>
      <vt:variant>
        <vt:i4>7274604</vt:i4>
      </vt:variant>
      <vt:variant>
        <vt:i4>21</vt:i4>
      </vt:variant>
      <vt:variant>
        <vt:i4>0</vt:i4>
      </vt:variant>
      <vt:variant>
        <vt:i4>5</vt:i4>
      </vt:variant>
      <vt:variant>
        <vt:lpwstr>http://www.icsm.gov.au/mapping/datums1.html</vt:lpwstr>
      </vt:variant>
      <vt:variant>
        <vt:lpwstr>spheroid</vt:lpwstr>
      </vt:variant>
      <vt:variant>
        <vt:i4>7405676</vt:i4>
      </vt:variant>
      <vt:variant>
        <vt:i4>18</vt:i4>
      </vt:variant>
      <vt:variant>
        <vt:i4>0</vt:i4>
      </vt:variant>
      <vt:variant>
        <vt:i4>5</vt:i4>
      </vt:variant>
      <vt:variant>
        <vt:lpwstr>http://www.icsm.gov.au/mapping/datums1.html</vt:lpwstr>
      </vt:variant>
      <vt:variant>
        <vt:lpwstr/>
      </vt:variant>
      <vt:variant>
        <vt:i4>3539069</vt:i4>
      </vt:variant>
      <vt:variant>
        <vt:i4>15</vt:i4>
      </vt:variant>
      <vt:variant>
        <vt:i4>0</vt:i4>
      </vt:variant>
      <vt:variant>
        <vt:i4>5</vt:i4>
      </vt:variant>
      <vt:variant>
        <vt:lpwstr>http://en.wikipedia.org/wiki/Geographic_coordinate_system</vt:lpwstr>
      </vt:variant>
      <vt:variant>
        <vt:lpwstr/>
      </vt:variant>
      <vt:variant>
        <vt:i4>7667825</vt:i4>
      </vt:variant>
      <vt:variant>
        <vt:i4>12</vt:i4>
      </vt:variant>
      <vt:variant>
        <vt:i4>0</vt:i4>
      </vt:variant>
      <vt:variant>
        <vt:i4>5</vt:i4>
      </vt:variant>
      <vt:variant>
        <vt:lpwstr>http://pbo.unavco.org/station/photos/P150/</vt:lpwstr>
      </vt:variant>
      <vt:variant>
        <vt:lpwstr/>
      </vt:variant>
      <vt:variant>
        <vt:i4>3080232</vt:i4>
      </vt:variant>
      <vt:variant>
        <vt:i4>9</vt:i4>
      </vt:variant>
      <vt:variant>
        <vt:i4>0</vt:i4>
      </vt:variant>
      <vt:variant>
        <vt:i4>5</vt:i4>
      </vt:variant>
      <vt:variant>
        <vt:lpwstr>http://pbo.unavco.org/station/overview/P150</vt:lpwstr>
      </vt:variant>
      <vt:variant>
        <vt:lpwstr/>
      </vt:variant>
      <vt:variant>
        <vt:i4>983107</vt:i4>
      </vt:variant>
      <vt:variant>
        <vt:i4>6</vt:i4>
      </vt:variant>
      <vt:variant>
        <vt:i4>0</vt:i4>
      </vt:variant>
      <vt:variant>
        <vt:i4>5</vt:i4>
      </vt:variant>
      <vt:variant>
        <vt:lpwstr>http://pbo.unavco.org/network/gps</vt:lpwstr>
      </vt:variant>
      <vt:variant>
        <vt:lpwstr/>
      </vt:variant>
      <vt:variant>
        <vt:i4>983107</vt:i4>
      </vt:variant>
      <vt:variant>
        <vt:i4>3</vt:i4>
      </vt:variant>
      <vt:variant>
        <vt:i4>0</vt:i4>
      </vt:variant>
      <vt:variant>
        <vt:i4>5</vt:i4>
      </vt:variant>
      <vt:variant>
        <vt:lpwstr>http://pbo.unavco.org/network/gps</vt:lpwstr>
      </vt:variant>
      <vt:variant>
        <vt:lpwstr/>
      </vt:variant>
      <vt:variant>
        <vt:i4>3145770</vt:i4>
      </vt:variant>
      <vt:variant>
        <vt:i4>0</vt:i4>
      </vt:variant>
      <vt:variant>
        <vt:i4>0</vt:i4>
      </vt:variant>
      <vt:variant>
        <vt:i4>5</vt:i4>
      </vt:variant>
      <vt:variant>
        <vt:lpwstr>http://pbo.unavco.org/data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Pratt-Sitaula;Christine Downs</dc:creator>
  <cp:lastModifiedBy>Carol Ormand</cp:lastModifiedBy>
  <cp:revision>38</cp:revision>
  <cp:lastPrinted>2020-05-21T01:45:00Z</cp:lastPrinted>
  <dcterms:created xsi:type="dcterms:W3CDTF">2020-05-15T17:44:00Z</dcterms:created>
  <dcterms:modified xsi:type="dcterms:W3CDTF">2021-10-22T14:47:00Z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5cab907f-d4d3-3582-932f-bf6cb9471c1e</vt:lpwstr>
  </property>
  <property fmtid="{D5CDD505-2E9C-101B-9397-08002B2CF9AE}" pid="4" name="Mendeley Citation Style_1">
    <vt:lpwstr>https://csl.mendeley.com/styles/18703251/harvard-cite-them-right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http://csl.mendeley.com/styles/18703251/harvard-cite-them-right</vt:lpwstr>
  </property>
  <property fmtid="{D5CDD505-2E9C-101B-9397-08002B2CF9AE}" pid="16" name="Mendeley Recent Style Name 5_1">
    <vt:lpwstr>Cite Them Right 10th edition - Harvard - Lee Slater</vt:lpwstr>
  </property>
  <property fmtid="{D5CDD505-2E9C-101B-9397-08002B2CF9AE}" pid="17" name="Mendeley Recent Style Id 6_1">
    <vt:lpwstr>https://csl.mendeley.com/styles/18703251/harvard-cite-them-right</vt:lpwstr>
  </property>
  <property fmtid="{D5CDD505-2E9C-101B-9397-08002B2CF9AE}" pid="18" name="Mendeley Recent Style Name 6_1">
    <vt:lpwstr>Cite Them Right 10th edition - Harvard - Lee Slater</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MTWinEqns">
    <vt:bool>true</vt:bool>
  </property>
</Properties>
</file>