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413E1E" w14:textId="78CE5A12" w:rsidR="00F414F8" w:rsidRPr="00523576" w:rsidRDefault="00B93517" w:rsidP="007016CC">
      <w:pPr>
        <w:pStyle w:val="Title"/>
        <w:rPr>
          <w:b w:val="0"/>
          <w:sz w:val="18"/>
          <w:szCs w:val="18"/>
        </w:rPr>
      </w:pPr>
      <w:r>
        <w:t xml:space="preserve">Locating Subsurface Features Using Gravity and Magnetics Unit </w:t>
      </w:r>
      <w:r w:rsidR="00C4224F">
        <w:t>3</w:t>
      </w:r>
      <w:r>
        <w:t xml:space="preserve">: </w:t>
      </w:r>
      <w:r w:rsidR="002A4501">
        <w:t xml:space="preserve">Part 1 </w:t>
      </w:r>
      <w:r w:rsidR="00C4224F">
        <w:t>Geopark Sinkhole Gravity Lab</w:t>
      </w:r>
    </w:p>
    <w:p w14:paraId="44F8D885" w14:textId="1E3AE31B" w:rsidR="00720DC6" w:rsidRPr="00720DC6" w:rsidRDefault="00C4224F" w:rsidP="008945A5">
      <w:pPr>
        <w:pStyle w:val="Authortext"/>
      </w:pPr>
      <w:r>
        <w:t>Andy Parsekian</w:t>
      </w:r>
      <w:r w:rsidR="00B93517">
        <w:t xml:space="preserve"> (</w:t>
      </w:r>
      <w:r>
        <w:t>University of Wyoming</w:t>
      </w:r>
      <w:r w:rsidR="00B93517">
        <w:t>)</w:t>
      </w:r>
    </w:p>
    <w:p w14:paraId="2F26ED75" w14:textId="75A18148" w:rsidR="00C4224F" w:rsidRDefault="00C4224F" w:rsidP="00C4224F">
      <w:pPr>
        <w:pStyle w:val="Heading1"/>
      </w:pPr>
      <w:r>
        <w:t>1</w:t>
      </w:r>
      <w:r w:rsidR="00B93517">
        <w:t xml:space="preserve">.1 </w:t>
      </w:r>
      <w:r>
        <w:t>Introduction</w:t>
      </w:r>
    </w:p>
    <w:p w14:paraId="709BDCFE" w14:textId="77777777" w:rsidR="00C4224F" w:rsidRDefault="00C4224F" w:rsidP="00C4224F">
      <w:r>
        <w:t xml:space="preserve">Sinkholes are a common “hidden hazard” in many areas around the world that can lead to rapid subsidence of the ground, causing damage to buildings, infrastructure, and loss of life. Gravity measurements can be useful for evaluating sinkhole risk because gravity is sensitive to low-density areas of the subsurface. </w:t>
      </w:r>
    </w:p>
    <w:p w14:paraId="2679EE04" w14:textId="77777777" w:rsidR="00C4224F" w:rsidRDefault="00C4224F" w:rsidP="00C4224F">
      <w:r>
        <w:t>You’ll be using data from Florida where a collapsed sinkhole is measured along a linear transect using a gravimeter, along with some previously published geologic cross-sections to assist you with interpretation.</w:t>
      </w:r>
    </w:p>
    <w:p w14:paraId="2EACDF1A" w14:textId="77777777" w:rsidR="00C4224F" w:rsidRDefault="00C4224F" w:rsidP="00C4224F">
      <w:r>
        <w:t xml:space="preserve">The force of gravity at any location on Earth’s surface is determined by many combined factors including the density of the target we are seeking to measure, </w:t>
      </w:r>
      <w:proofErr w:type="gramStart"/>
      <w:r>
        <w:t>and also</w:t>
      </w:r>
      <w:proofErr w:type="gramEnd"/>
      <w:r>
        <w:t xml:space="preserve"> the larger-scale characteristics of the subsurface. </w:t>
      </w:r>
      <w:proofErr w:type="gramStart"/>
      <w:r>
        <w:t>In order to</w:t>
      </w:r>
      <w:proofErr w:type="gramEnd"/>
      <w:r>
        <w:t xml:space="preserve"> isolate the very small influence of our desired target (a void related to a sinkhole) from the larger-scale gravitational effects, we need to calculate and remove those larger-scale effects. These calculations are known as </w:t>
      </w:r>
      <w:r>
        <w:rPr>
          <w:i/>
          <w:iCs/>
        </w:rPr>
        <w:t>gravity corrections</w:t>
      </w:r>
      <w:r>
        <w:t xml:space="preserve">. </w:t>
      </w:r>
      <w:r>
        <w:br/>
      </w:r>
    </w:p>
    <w:p w14:paraId="38F7C582" w14:textId="77777777" w:rsidR="00C4224F" w:rsidRDefault="00C4224F" w:rsidP="002665E2">
      <w:pPr>
        <w:pStyle w:val="Heading2"/>
      </w:pPr>
      <w:r>
        <w:t>Learning Objectives</w:t>
      </w:r>
    </w:p>
    <w:p w14:paraId="1460D6A2" w14:textId="1DF09352" w:rsidR="00C4224F" w:rsidRDefault="00C4224F" w:rsidP="00C4224F">
      <w:pPr>
        <w:spacing w:after="0"/>
        <w:ind w:left="1080" w:hanging="360"/>
      </w:pPr>
      <w:proofErr w:type="gramStart"/>
      <w:r>
        <w:t xml:space="preserve">  </w:t>
      </w:r>
      <w:r w:rsidR="006F6FD4">
        <w:t>I</w:t>
      </w:r>
      <w:r>
        <w:t>nterpret</w:t>
      </w:r>
      <w:proofErr w:type="gramEnd"/>
      <w:r>
        <w:t xml:space="preserve"> gravity prospecting data to locate anomalies related to sinkhole hazards</w:t>
      </w:r>
      <w:r w:rsidR="006F6FD4">
        <w:t>.</w:t>
      </w:r>
    </w:p>
    <w:p w14:paraId="6216C67D" w14:textId="31507713" w:rsidR="00C4224F" w:rsidRDefault="00C4224F" w:rsidP="00C4224F">
      <w:pPr>
        <w:spacing w:after="0"/>
        <w:ind w:left="1080" w:hanging="360"/>
      </w:pPr>
      <w:proofErr w:type="gramStart"/>
      <w:r>
        <w:t xml:space="preserve">  </w:t>
      </w:r>
      <w:r w:rsidR="006F6FD4">
        <w:t>R</w:t>
      </w:r>
      <w:r>
        <w:t>ecognize</w:t>
      </w:r>
      <w:proofErr w:type="gramEnd"/>
      <w:r>
        <w:t xml:space="preserve"> and describe limitations and nonuniqueness in geophysical results</w:t>
      </w:r>
      <w:r w:rsidR="006F6FD4">
        <w:t>.</w:t>
      </w:r>
      <w:r>
        <w:t xml:space="preserve"> </w:t>
      </w:r>
    </w:p>
    <w:p w14:paraId="1EC987BF" w14:textId="76F4D5E9" w:rsidR="00C4224F" w:rsidRDefault="00C4224F" w:rsidP="00C4224F">
      <w:pPr>
        <w:spacing w:after="0"/>
        <w:ind w:left="1080" w:hanging="360"/>
      </w:pPr>
      <w:r>
        <w:t xml:space="preserve">  </w:t>
      </w:r>
      <w:r w:rsidR="006F6FD4">
        <w:t>J</w:t>
      </w:r>
      <w:r>
        <w:t>ustify interpretations of a measured dataset using physical properties and principles</w:t>
      </w:r>
      <w:r w:rsidR="006F6FD4">
        <w:t>.</w:t>
      </w:r>
      <w:r>
        <w:t xml:space="preserve"> </w:t>
      </w:r>
    </w:p>
    <w:p w14:paraId="3469782A" w14:textId="6043A3D2" w:rsidR="00C4224F" w:rsidRDefault="00C4224F" w:rsidP="00C4224F">
      <w:pPr>
        <w:ind w:left="1080" w:hanging="360"/>
      </w:pPr>
      <w:proofErr w:type="gramStart"/>
      <w:r>
        <w:t xml:space="preserve">  </w:t>
      </w:r>
      <w:r w:rsidR="006F6FD4">
        <w:t>G</w:t>
      </w:r>
      <w:r>
        <w:t>ive</w:t>
      </w:r>
      <w:proofErr w:type="gramEnd"/>
      <w:r>
        <w:t xml:space="preserve"> examples of applications of gravity prospecting applications in your own neighborhood or region.</w:t>
      </w:r>
    </w:p>
    <w:p w14:paraId="3678FA11" w14:textId="77777777" w:rsidR="00C4224F" w:rsidRDefault="00C4224F" w:rsidP="00C4224F">
      <w:pPr>
        <w:pStyle w:val="Heading1"/>
      </w:pPr>
      <w:r>
        <w:t>1.2 Data analysis procedure</w:t>
      </w:r>
    </w:p>
    <w:p w14:paraId="5A1E3CA9" w14:textId="77777777" w:rsidR="00C4224F" w:rsidRDefault="00C4224F" w:rsidP="00C4224F">
      <w:r>
        <w:t>For this lab, your tasks will be to (1) calculate the necessary gravity corrections, (2) apply those corrections to the provided raw data, (3) remove the local trend, (4) plot the final relative anomaly, and (5) interpret the results.</w:t>
      </w:r>
    </w:p>
    <w:p w14:paraId="5509FB1B" w14:textId="77777777" w:rsidR="00C4224F" w:rsidRDefault="00C4224F" w:rsidP="00C4224F">
      <w:pPr>
        <w:numPr>
          <w:ilvl w:val="0"/>
          <w:numId w:val="9"/>
        </w:numPr>
        <w:pBdr>
          <w:top w:val="nil"/>
          <w:left w:val="nil"/>
          <w:bottom w:val="nil"/>
          <w:right w:val="nil"/>
          <w:between w:val="nil"/>
        </w:pBdr>
        <w:spacing w:after="0"/>
      </w:pPr>
      <w:r>
        <w:rPr>
          <w:rFonts w:eastAsia="Times New Roman"/>
          <w:color w:val="000000"/>
        </w:rPr>
        <w:t>The Excel workbook is structured so that the top left corner contains general numbers that will be used for your calculations under a green heading bar “variables.” You will enter values in these cells as you work through the lab.</w:t>
      </w:r>
    </w:p>
    <w:p w14:paraId="7AF3213B" w14:textId="77777777" w:rsidR="00C4224F" w:rsidRDefault="00C4224F" w:rsidP="00C4224F">
      <w:pPr>
        <w:numPr>
          <w:ilvl w:val="0"/>
          <w:numId w:val="9"/>
        </w:numPr>
        <w:pBdr>
          <w:top w:val="nil"/>
          <w:left w:val="nil"/>
          <w:bottom w:val="nil"/>
          <w:right w:val="nil"/>
          <w:between w:val="nil"/>
        </w:pBdr>
        <w:spacing w:after="0"/>
      </w:pPr>
      <w:r>
        <w:t>On the first tab</w:t>
      </w:r>
      <w:r>
        <w:rPr>
          <w:rFonts w:eastAsia="Times New Roman"/>
          <w:color w:val="000000"/>
        </w:rPr>
        <w:t xml:space="preserve">, there are the data on the left, a place for you to calculate the corrections in the middle, and a place for you to apply the corrections and local trend on the right. </w:t>
      </w:r>
    </w:p>
    <w:p w14:paraId="5C4EE040" w14:textId="77777777" w:rsidR="00C4224F" w:rsidRDefault="00C4224F" w:rsidP="00C4224F">
      <w:pPr>
        <w:numPr>
          <w:ilvl w:val="0"/>
          <w:numId w:val="9"/>
        </w:numPr>
        <w:pBdr>
          <w:top w:val="nil"/>
          <w:left w:val="nil"/>
          <w:bottom w:val="nil"/>
          <w:right w:val="nil"/>
          <w:between w:val="nil"/>
        </w:pBdr>
        <w:spacing w:after="0"/>
      </w:pPr>
      <w:r>
        <w:rPr>
          <w:rFonts w:eastAsia="Times New Roman"/>
          <w:color w:val="000000"/>
        </w:rPr>
        <w:t xml:space="preserve">Below the data and calculation sections is space for you to add charts and graphs. </w:t>
      </w:r>
    </w:p>
    <w:p w14:paraId="58FDCEFD" w14:textId="77777777" w:rsidR="00C4224F" w:rsidRDefault="00C4224F" w:rsidP="00C4224F">
      <w:pPr>
        <w:numPr>
          <w:ilvl w:val="0"/>
          <w:numId w:val="9"/>
        </w:numPr>
        <w:pBdr>
          <w:top w:val="nil"/>
          <w:left w:val="nil"/>
          <w:bottom w:val="nil"/>
          <w:right w:val="nil"/>
          <w:between w:val="nil"/>
        </w:pBdr>
        <w:spacing w:after="0"/>
      </w:pPr>
      <w:r>
        <w:t xml:space="preserve">The full raw dataset is included in the last tab of the spreadsheet </w:t>
      </w:r>
      <w:proofErr w:type="gramStart"/>
      <w:r>
        <w:t>in the event that</w:t>
      </w:r>
      <w:proofErr w:type="gramEnd"/>
      <w:r>
        <w:t xml:space="preserve"> students are interested in viewing or working with it, but it is not required for this activity.</w:t>
      </w:r>
    </w:p>
    <w:p w14:paraId="1BFAB4A7" w14:textId="77777777" w:rsidR="00C4224F" w:rsidRDefault="00C4224F" w:rsidP="00C4224F">
      <w:pPr>
        <w:pBdr>
          <w:top w:val="nil"/>
          <w:left w:val="nil"/>
          <w:bottom w:val="nil"/>
          <w:right w:val="nil"/>
          <w:between w:val="nil"/>
        </w:pBdr>
        <w:spacing w:after="0"/>
        <w:ind w:left="780" w:hanging="360"/>
        <w:rPr>
          <w:color w:val="000000"/>
        </w:rPr>
      </w:pPr>
    </w:p>
    <w:p w14:paraId="7BF11DFE" w14:textId="77777777" w:rsidR="00C4224F" w:rsidRDefault="00C4224F" w:rsidP="00C4224F">
      <w:pPr>
        <w:ind w:left="720" w:hanging="360"/>
      </w:pPr>
      <w:r>
        <w:t>Before starting to make any calculations, review the raw data.</w:t>
      </w:r>
    </w:p>
    <w:p w14:paraId="6C18835F" w14:textId="77777777" w:rsidR="00C4224F" w:rsidRDefault="00C4224F" w:rsidP="00C4224F">
      <w:pPr>
        <w:numPr>
          <w:ilvl w:val="1"/>
          <w:numId w:val="10"/>
        </w:numPr>
        <w:pBdr>
          <w:top w:val="nil"/>
          <w:left w:val="nil"/>
          <w:bottom w:val="nil"/>
          <w:right w:val="nil"/>
          <w:between w:val="nil"/>
        </w:pBdr>
        <w:spacing w:after="0"/>
      </w:pPr>
      <w:r>
        <w:t>How large is the drift in the instrument compared to the data itself?</w:t>
      </w:r>
    </w:p>
    <w:p w14:paraId="4C4C857D" w14:textId="77777777" w:rsidR="00C4224F" w:rsidRDefault="00C4224F" w:rsidP="00C4224F">
      <w:pPr>
        <w:numPr>
          <w:ilvl w:val="1"/>
          <w:numId w:val="10"/>
        </w:numPr>
        <w:pBdr>
          <w:top w:val="nil"/>
          <w:left w:val="nil"/>
          <w:bottom w:val="nil"/>
          <w:right w:val="nil"/>
          <w:between w:val="nil"/>
        </w:pBdr>
        <w:spacing w:after="0"/>
      </w:pPr>
      <w:r>
        <w:lastRenderedPageBreak/>
        <w:t xml:space="preserve">What is the magnitude of the largest changes in the observed gravity data? </w:t>
      </w:r>
    </w:p>
    <w:p w14:paraId="2EA9DD2F" w14:textId="77777777" w:rsidR="00C4224F" w:rsidRDefault="00C4224F" w:rsidP="00C4224F">
      <w:pPr>
        <w:numPr>
          <w:ilvl w:val="1"/>
          <w:numId w:val="10"/>
        </w:numPr>
        <w:pBdr>
          <w:top w:val="nil"/>
          <w:left w:val="nil"/>
          <w:bottom w:val="nil"/>
          <w:right w:val="nil"/>
          <w:between w:val="nil"/>
        </w:pBdr>
        <w:spacing w:after="0"/>
      </w:pPr>
      <w:r>
        <w:t xml:space="preserve">Considering your answers to A and B, will the drift correction create a measurable difference in the data? </w:t>
      </w:r>
    </w:p>
    <w:p w14:paraId="220C48AB" w14:textId="77777777" w:rsidR="00C4224F" w:rsidRDefault="00C4224F" w:rsidP="00C4224F">
      <w:pPr>
        <w:pBdr>
          <w:top w:val="nil"/>
          <w:left w:val="nil"/>
          <w:bottom w:val="nil"/>
          <w:right w:val="nil"/>
          <w:between w:val="nil"/>
        </w:pBdr>
        <w:spacing w:after="0"/>
      </w:pPr>
    </w:p>
    <w:p w14:paraId="7465EEC9" w14:textId="77777777" w:rsidR="00C4224F" w:rsidRDefault="00C4224F" w:rsidP="00C4224F">
      <w:pPr>
        <w:pBdr>
          <w:top w:val="nil"/>
          <w:left w:val="nil"/>
          <w:bottom w:val="nil"/>
          <w:right w:val="nil"/>
          <w:between w:val="nil"/>
        </w:pBdr>
        <w:spacing w:after="0"/>
        <w:rPr>
          <w:rFonts w:eastAsia="Times New Roman"/>
          <w:color w:val="000000"/>
        </w:rPr>
      </w:pPr>
      <w:r>
        <w:rPr>
          <w:rFonts w:eastAsia="Times New Roman"/>
          <w:color w:val="000000"/>
        </w:rPr>
        <w:t xml:space="preserve">The data provided has already been </w:t>
      </w:r>
      <w:r>
        <w:rPr>
          <w:rFonts w:eastAsia="Times New Roman"/>
          <w:i/>
          <w:iCs/>
          <w:color w:val="000000"/>
        </w:rPr>
        <w:t>drift</w:t>
      </w:r>
      <w:r>
        <w:rPr>
          <w:i/>
          <w:iCs/>
        </w:rPr>
        <w:t>-</w:t>
      </w:r>
      <w:r>
        <w:rPr>
          <w:rFonts w:eastAsia="Times New Roman"/>
          <w:i/>
          <w:iCs/>
          <w:color w:val="000000"/>
        </w:rPr>
        <w:t>corrected</w:t>
      </w:r>
      <w:r>
        <w:rPr>
          <w:rFonts w:eastAsia="Times New Roman"/>
          <w:color w:val="000000"/>
        </w:rPr>
        <w:t xml:space="preserve"> for you; this means that the instrument variability between measurement points is already removed from the data in column H of the Excel workbook. All your calculations can be done using the drift-corrected gravity. </w:t>
      </w:r>
    </w:p>
    <w:p w14:paraId="06935A4E" w14:textId="77777777" w:rsidR="00C4224F" w:rsidRDefault="00C4224F" w:rsidP="00C4224F">
      <w:pPr>
        <w:pBdr>
          <w:top w:val="nil"/>
          <w:left w:val="nil"/>
          <w:bottom w:val="nil"/>
          <w:right w:val="nil"/>
          <w:between w:val="nil"/>
        </w:pBdr>
        <w:spacing w:after="0"/>
        <w:rPr>
          <w:rFonts w:eastAsia="Times New Roman"/>
          <w:color w:val="000000"/>
        </w:rPr>
      </w:pPr>
    </w:p>
    <w:p w14:paraId="29EF2875" w14:textId="6A3A4200" w:rsidR="00C4224F" w:rsidRDefault="00C4224F" w:rsidP="00C4224F">
      <w:pPr>
        <w:numPr>
          <w:ilvl w:val="0"/>
          <w:numId w:val="12"/>
        </w:numPr>
        <w:pBdr>
          <w:top w:val="nil"/>
          <w:left w:val="nil"/>
          <w:bottom w:val="nil"/>
          <w:right w:val="nil"/>
          <w:between w:val="nil"/>
        </w:pBdr>
        <w:spacing w:after="0"/>
      </w:pPr>
      <w:r>
        <w:rPr>
          <w:rFonts w:eastAsia="Times New Roman"/>
          <w:color w:val="000000"/>
        </w:rPr>
        <w:t xml:space="preserve">First, calculate the </w:t>
      </w:r>
      <w:r>
        <w:rPr>
          <w:rFonts w:eastAsia="Times New Roman"/>
          <w:b/>
          <w:bCs/>
          <w:color w:val="000000"/>
        </w:rPr>
        <w:t>latitude correction</w:t>
      </w:r>
      <w:r>
        <w:rPr>
          <w:rFonts w:eastAsia="Times New Roman"/>
          <w:color w:val="000000"/>
        </w:rPr>
        <w:t xml:space="preserve"> to all stations based on the provided equation</w:t>
      </w:r>
      <w:r>
        <w:t>:</w:t>
      </w:r>
      <w:r>
        <w:rPr>
          <w:rFonts w:eastAsia="Times New Roman"/>
          <w:color w:val="000000"/>
        </w:rPr>
        <w:t xml:space="preserve"> </w:t>
      </w:r>
      <w:r>
        <w:br/>
      </w:r>
      <w:r>
        <w:br/>
      </w:r>
      <m:oMathPara>
        <m:oMath>
          <m:r>
            <w:rPr>
              <w:rFonts w:ascii="Cambria Math" w:hAnsi="Cambria Math"/>
              <w:sz w:val="36"/>
              <w:szCs w:val="36"/>
            </w:rPr>
            <m:t>δ</m:t>
          </m:r>
          <m:sSub>
            <m:sSubPr>
              <m:ctrlPr>
                <w:rPr>
                  <w:rFonts w:ascii="Cambria Math" w:hAnsi="Cambria Math"/>
                  <w:sz w:val="36"/>
                  <w:szCs w:val="36"/>
                </w:rPr>
              </m:ctrlPr>
            </m:sSubPr>
            <m:e>
              <m:r>
                <w:rPr>
                  <w:rFonts w:ascii="Cambria Math" w:hAnsi="Cambria Math"/>
                  <w:sz w:val="36"/>
                  <w:szCs w:val="36"/>
                </w:rPr>
                <m:t>g</m:t>
              </m:r>
            </m:e>
            <m:sub>
              <m:r>
                <w:rPr>
                  <w:rFonts w:ascii="Cambria Math" w:hAnsi="Cambria Math"/>
                  <w:sz w:val="36"/>
                  <w:szCs w:val="36"/>
                </w:rPr>
                <m:t>LAT</m:t>
              </m:r>
            </m:sub>
          </m:sSub>
          <m:r>
            <w:rPr>
              <w:rFonts w:ascii="Cambria Math" w:hAnsi="Cambria Math"/>
              <w:sz w:val="36"/>
              <w:szCs w:val="36"/>
            </w:rPr>
            <m:t xml:space="preserve"> = 0.812sin(2λ)</m:t>
          </m:r>
          <m:r>
            <m:rPr>
              <m:sty m:val="p"/>
            </m:rPr>
            <w:rPr>
              <w:rFonts w:eastAsia="Times New Roman"/>
              <w:color w:val="000000"/>
            </w:rPr>
            <w:br/>
          </m:r>
        </m:oMath>
        <m:oMath>
          <m:r>
            <m:rPr>
              <m:sty m:val="p"/>
            </m:rPr>
            <w:rPr>
              <w:rFonts w:eastAsia="Times New Roman"/>
              <w:color w:val="000000"/>
            </w:rPr>
            <w:br/>
          </m:r>
        </m:oMath>
      </m:oMathPara>
      <w:r>
        <w:rPr>
          <w:rFonts w:eastAsia="Times New Roman"/>
          <w:color w:val="000000"/>
        </w:rPr>
        <w:t xml:space="preserve">Since this is a relatively small-scale survey, the latitude correction will be relatively small, but it is still important to do </w:t>
      </w:r>
      <w:proofErr w:type="gramStart"/>
      <w:r>
        <w:rPr>
          <w:rFonts w:eastAsia="Times New Roman"/>
          <w:color w:val="000000"/>
        </w:rPr>
        <w:t>in order to</w:t>
      </w:r>
      <w:proofErr w:type="gramEnd"/>
      <w:r>
        <w:rPr>
          <w:rFonts w:eastAsia="Times New Roman"/>
          <w:color w:val="000000"/>
        </w:rPr>
        <w:t xml:space="preserve"> interpret the results. You are provided with the latitude for each measurement in degrees. </w:t>
      </w:r>
      <w:r>
        <w:rPr>
          <w:rFonts w:eastAsia="Times New Roman"/>
          <w:color w:val="000000"/>
          <w:u w:val="single"/>
        </w:rPr>
        <w:t>Reminder</w:t>
      </w:r>
      <w:r>
        <w:rPr>
          <w:rFonts w:eastAsia="Times New Roman"/>
          <w:color w:val="000000"/>
        </w:rPr>
        <w:t>: Excel works in radians, so the input for lambda (λ) in the latitude correction equation needs to be converted to radians by multiplying the latitude in degrees by π/180. For exam</w:t>
      </w:r>
      <w:r>
        <w:t>ple, the first row could read “=0.812*sin(2*PI()/180*B9)”.</w:t>
      </w:r>
      <w:r>
        <w:rPr>
          <w:rFonts w:eastAsia="Times New Roman"/>
          <w:color w:val="000000"/>
        </w:rPr>
        <w:t xml:space="preserve"> </w:t>
      </w:r>
    </w:p>
    <w:p w14:paraId="56EFE5B2" w14:textId="77777777" w:rsidR="00C4224F" w:rsidRDefault="00C4224F" w:rsidP="00C4224F">
      <w:pPr>
        <w:pBdr>
          <w:top w:val="nil"/>
          <w:left w:val="nil"/>
          <w:bottom w:val="nil"/>
          <w:right w:val="nil"/>
          <w:between w:val="nil"/>
        </w:pBdr>
        <w:spacing w:after="0"/>
        <w:ind w:left="720" w:hanging="360"/>
        <w:rPr>
          <w:color w:val="000000"/>
        </w:rPr>
      </w:pPr>
    </w:p>
    <w:p w14:paraId="4C4BCBA9" w14:textId="77777777" w:rsidR="00C4224F" w:rsidRDefault="00C4224F" w:rsidP="00C4224F">
      <w:pPr>
        <w:numPr>
          <w:ilvl w:val="0"/>
          <w:numId w:val="12"/>
        </w:numPr>
        <w:pBdr>
          <w:top w:val="nil"/>
          <w:left w:val="nil"/>
          <w:bottom w:val="nil"/>
          <w:right w:val="nil"/>
          <w:between w:val="nil"/>
        </w:pBdr>
        <w:spacing w:after="0"/>
      </w:pPr>
      <w:r>
        <w:rPr>
          <w:rFonts w:eastAsia="Times New Roman"/>
          <w:color w:val="000000"/>
        </w:rPr>
        <w:t xml:space="preserve">Next, calculate the </w:t>
      </w:r>
      <w:r>
        <w:rPr>
          <w:rFonts w:eastAsia="Times New Roman"/>
          <w:b/>
          <w:bCs/>
          <w:color w:val="000000"/>
        </w:rPr>
        <w:t>free-air correction</w:t>
      </w:r>
      <w:r>
        <w:rPr>
          <w:rFonts w:eastAsia="Times New Roman"/>
          <w:color w:val="000000"/>
        </w:rPr>
        <w:t xml:space="preserve"> using the provided equation</w:t>
      </w:r>
      <w:r>
        <w:t>:</w:t>
      </w:r>
      <w:r>
        <w:rPr>
          <w:rFonts w:eastAsia="Times New Roman"/>
          <w:color w:val="000000"/>
        </w:rPr>
        <w:t xml:space="preserve"> </w:t>
      </w:r>
      <w:r>
        <w:rPr>
          <w:rFonts w:eastAsia="Times New Roman"/>
          <w:color w:val="000000"/>
        </w:rPr>
        <w:br/>
      </w:r>
    </w:p>
    <w:p w14:paraId="56507049" w14:textId="77777777" w:rsidR="002665E2" w:rsidRDefault="00C4224F" w:rsidP="002665E2">
      <w:pPr>
        <w:pBdr>
          <w:top w:val="nil"/>
          <w:left w:val="nil"/>
          <w:bottom w:val="nil"/>
          <w:right w:val="nil"/>
          <w:between w:val="nil"/>
        </w:pBdr>
        <w:spacing w:after="0"/>
        <w:ind w:left="720"/>
        <w:jc w:val="center"/>
        <w:rPr>
          <w:rFonts w:eastAsia="Times New Roman"/>
          <w:color w:val="000000"/>
        </w:rPr>
      </w:pPr>
      <m:oMath>
        <m:r>
          <w:rPr>
            <w:rFonts w:ascii="Calibri" w:eastAsia="Calibri" w:hAnsi="Calibri" w:cs="Calibri"/>
            <w:sz w:val="36"/>
            <w:szCs w:val="36"/>
          </w:rPr>
          <m:t>δ</m:t>
        </m:r>
        <m:sSub>
          <m:sSubPr>
            <m:ctrlPr>
              <w:rPr>
                <w:rFonts w:ascii="Calibri" w:eastAsia="Calibri" w:hAnsi="Calibri" w:cs="Calibri"/>
                <w:sz w:val="36"/>
                <w:szCs w:val="36"/>
              </w:rPr>
            </m:ctrlPr>
          </m:sSubPr>
          <m:e>
            <m:r>
              <w:rPr>
                <w:rFonts w:ascii="Calibri" w:eastAsia="Calibri" w:hAnsi="Calibri" w:cs="Calibri"/>
                <w:sz w:val="36"/>
                <w:szCs w:val="36"/>
              </w:rPr>
              <m:t>g</m:t>
            </m:r>
          </m:e>
          <m:sub>
            <m:r>
              <w:rPr>
                <w:rFonts w:ascii="Calibri" w:eastAsia="Calibri" w:hAnsi="Calibri" w:cs="Calibri"/>
                <w:sz w:val="36"/>
                <w:szCs w:val="36"/>
              </w:rPr>
              <m:t>FA</m:t>
            </m:r>
          </m:sub>
        </m:sSub>
        <m:r>
          <w:rPr>
            <w:rFonts w:ascii="Calibri" w:eastAsia="Calibri" w:hAnsi="Calibri" w:cs="Calibri"/>
            <w:sz w:val="36"/>
            <w:szCs w:val="36"/>
          </w:rPr>
          <m:t xml:space="preserve"> = 0.3087691</m:t>
        </m:r>
        <m:r>
          <w:rPr>
            <w:rFonts w:ascii="Calibri" w:eastAsia="Calibri" w:hAnsi="Calibri" w:cs="Calibri"/>
            <w:sz w:val="36"/>
            <w:szCs w:val="36"/>
          </w:rPr>
          <m:t>h</m:t>
        </m:r>
      </m:oMath>
      <w:r w:rsidRPr="00AD4699">
        <w:rPr>
          <w:rFonts w:eastAsia="Times New Roman"/>
          <w:color w:val="000000"/>
          <w:sz w:val="16"/>
          <w:szCs w:val="16"/>
        </w:rPr>
        <w:t xml:space="preserve"> </w:t>
      </w:r>
    </w:p>
    <w:p w14:paraId="12D0DEC0" w14:textId="632661E0" w:rsidR="00C4224F" w:rsidRDefault="002665E2" w:rsidP="002665E2">
      <w:pPr>
        <w:pBdr>
          <w:top w:val="nil"/>
          <w:left w:val="nil"/>
          <w:bottom w:val="nil"/>
          <w:right w:val="nil"/>
          <w:between w:val="nil"/>
        </w:pBdr>
        <w:spacing w:after="0"/>
        <w:ind w:left="720"/>
        <w:rPr>
          <w:color w:val="000000"/>
        </w:rPr>
      </w:pPr>
      <w:r>
        <w:rPr>
          <w:rFonts w:eastAsia="Times New Roman"/>
          <w:color w:val="000000"/>
        </w:rPr>
        <w:br/>
      </w:r>
      <w:r w:rsidR="00C4224F">
        <w:rPr>
          <w:rFonts w:eastAsia="Times New Roman"/>
          <w:color w:val="000000"/>
        </w:rPr>
        <w:t xml:space="preserve">In this case, you are provided with measured elevations relative to the base, i.e., the base station is 0 </w:t>
      </w:r>
      <w:proofErr w:type="gramStart"/>
      <w:r w:rsidR="00C4224F">
        <w:rPr>
          <w:rFonts w:eastAsia="Times New Roman"/>
          <w:color w:val="000000"/>
        </w:rPr>
        <w:t>m</w:t>
      </w:r>
      <w:proofErr w:type="gramEnd"/>
      <w:r w:rsidR="00C4224F">
        <w:rPr>
          <w:rFonts w:eastAsia="Times New Roman"/>
          <w:color w:val="000000"/>
        </w:rPr>
        <w:t xml:space="preserve"> and all other points are either above or below that. For each measurement location, multiply the provided elevation (</w:t>
      </w:r>
      <w:r w:rsidR="00C4224F">
        <w:rPr>
          <w:rFonts w:eastAsia="Times New Roman"/>
          <w:i/>
          <w:iCs/>
          <w:color w:val="000000"/>
        </w:rPr>
        <w:t>h</w:t>
      </w:r>
      <w:r w:rsidR="00C4224F">
        <w:rPr>
          <w:rFonts w:eastAsia="Times New Roman"/>
          <w:color w:val="000000"/>
        </w:rPr>
        <w:t>) by the scaling factor 0.3087691.</w:t>
      </w:r>
    </w:p>
    <w:p w14:paraId="71FE22BF" w14:textId="77777777" w:rsidR="00C4224F" w:rsidRDefault="00C4224F" w:rsidP="00C4224F">
      <w:pPr>
        <w:pBdr>
          <w:top w:val="nil"/>
          <w:left w:val="nil"/>
          <w:bottom w:val="nil"/>
          <w:right w:val="nil"/>
          <w:between w:val="nil"/>
        </w:pBdr>
        <w:spacing w:after="0"/>
        <w:ind w:left="720" w:hanging="360"/>
        <w:rPr>
          <w:color w:val="000000"/>
        </w:rPr>
      </w:pPr>
    </w:p>
    <w:p w14:paraId="3D87DFAA" w14:textId="77777777" w:rsidR="00C4224F" w:rsidRDefault="00C4224F" w:rsidP="00C4224F">
      <w:pPr>
        <w:numPr>
          <w:ilvl w:val="0"/>
          <w:numId w:val="12"/>
        </w:numPr>
        <w:pBdr>
          <w:top w:val="nil"/>
          <w:left w:val="nil"/>
          <w:bottom w:val="nil"/>
          <w:right w:val="nil"/>
          <w:between w:val="nil"/>
        </w:pBdr>
        <w:spacing w:after="0"/>
      </w:pPr>
      <w:r>
        <w:rPr>
          <w:rFonts w:eastAsia="Times New Roman"/>
          <w:color w:val="000000"/>
        </w:rPr>
        <w:t xml:space="preserve">The final correction is the </w:t>
      </w:r>
      <w:r>
        <w:rPr>
          <w:rFonts w:eastAsia="Times New Roman"/>
          <w:b/>
          <w:bCs/>
          <w:color w:val="000000"/>
        </w:rPr>
        <w:t xml:space="preserve">Bouguer </w:t>
      </w:r>
      <w:r>
        <w:rPr>
          <w:rFonts w:eastAsia="Times New Roman"/>
          <w:color w:val="000000"/>
        </w:rPr>
        <w:t>(say: boo-GAY). To account for the difference in material below each measurement point, we multiply the density (</w:t>
      </w:r>
      <w:r>
        <w:rPr>
          <w:rFonts w:eastAsia="Times New Roman"/>
          <w:i/>
          <w:iCs/>
          <w:color w:val="000000"/>
        </w:rPr>
        <w:t>ρ</w:t>
      </w:r>
      <w:r>
        <w:rPr>
          <w:rFonts w:eastAsia="Times New Roman"/>
          <w:color w:val="000000"/>
        </w:rPr>
        <w:t>), height/elevation (</w:t>
      </w:r>
      <w:r>
        <w:rPr>
          <w:rFonts w:eastAsia="Times New Roman"/>
          <w:i/>
          <w:iCs/>
          <w:color w:val="000000"/>
        </w:rPr>
        <w:t>H</w:t>
      </w:r>
      <w:r>
        <w:rPr>
          <w:rFonts w:eastAsia="Times New Roman"/>
          <w:color w:val="000000"/>
        </w:rPr>
        <w:t>), and gravitational constant (</w:t>
      </w:r>
      <w:r>
        <w:rPr>
          <w:rFonts w:eastAsia="Times New Roman"/>
          <w:i/>
          <w:iCs/>
          <w:color w:val="000000"/>
        </w:rPr>
        <w:t>G</w:t>
      </w:r>
      <w:r>
        <w:rPr>
          <w:rFonts w:eastAsia="Times New Roman"/>
          <w:color w:val="000000"/>
        </w:rPr>
        <w:t xml:space="preserve">) by 2π: </w:t>
      </w:r>
      <w:r>
        <w:rPr>
          <w:rFonts w:eastAsia="Times New Roman"/>
          <w:color w:val="000000"/>
        </w:rPr>
        <w:br/>
      </w:r>
      <w:r>
        <w:rPr>
          <w:rFonts w:eastAsia="Times New Roman"/>
          <w:color w:val="000000"/>
        </w:rPr>
        <w:br/>
      </w:r>
      <m:oMathPara>
        <m:oMath>
          <m:r>
            <w:rPr>
              <w:rFonts w:ascii="Cambria Math" w:hAnsi="Cambria Math"/>
              <w:sz w:val="36"/>
              <w:szCs w:val="36"/>
            </w:rPr>
            <m:t>δ</m:t>
          </m:r>
          <m:sSub>
            <m:sSubPr>
              <m:ctrlPr>
                <w:rPr>
                  <w:rFonts w:ascii="Cambria Math" w:hAnsi="Cambria Math"/>
                  <w:sz w:val="36"/>
                  <w:szCs w:val="36"/>
                </w:rPr>
              </m:ctrlPr>
            </m:sSubPr>
            <m:e>
              <m:r>
                <w:rPr>
                  <w:rFonts w:ascii="Cambria Math" w:hAnsi="Cambria Math"/>
                  <w:sz w:val="36"/>
                  <w:szCs w:val="36"/>
                </w:rPr>
                <m:t>g</m:t>
              </m:r>
            </m:e>
            <m:sub>
              <m:r>
                <w:rPr>
                  <w:rFonts w:ascii="Cambria Math" w:hAnsi="Cambria Math"/>
                  <w:sz w:val="36"/>
                  <w:szCs w:val="36"/>
                </w:rPr>
                <m:t>B</m:t>
              </m:r>
            </m:sub>
          </m:sSub>
          <m:r>
            <w:rPr>
              <w:rFonts w:eastAsia="Times New Roman"/>
              <w:color w:val="000000"/>
              <w:sz w:val="36"/>
              <w:szCs w:val="36"/>
            </w:rPr>
            <m:t>=2πρGH</m:t>
          </m:r>
          <m:r>
            <m:rPr>
              <m:sty m:val="p"/>
            </m:rPr>
            <w:rPr>
              <w:rFonts w:eastAsia="Times New Roman"/>
              <w:color w:val="000000"/>
            </w:rPr>
            <w:br/>
          </m:r>
        </m:oMath>
      </m:oMathPara>
    </w:p>
    <w:p w14:paraId="209C545A" w14:textId="77777777" w:rsidR="00C4224F" w:rsidRDefault="00C4224F" w:rsidP="00C4224F">
      <w:pPr>
        <w:pBdr>
          <w:top w:val="nil"/>
          <w:left w:val="nil"/>
          <w:bottom w:val="nil"/>
          <w:right w:val="nil"/>
          <w:between w:val="nil"/>
        </w:pBdr>
        <w:spacing w:after="0"/>
        <w:ind w:left="720"/>
        <w:rPr>
          <w:color w:val="000000"/>
        </w:rPr>
      </w:pPr>
      <w:r>
        <w:rPr>
          <w:rFonts w:eastAsia="Times New Roman"/>
          <w:color w:val="000000"/>
        </w:rPr>
        <w:t>For this calculation, use:</w:t>
      </w:r>
    </w:p>
    <w:p w14:paraId="285CC123" w14:textId="77777777" w:rsidR="00C4224F" w:rsidRDefault="00C4224F" w:rsidP="00C4224F">
      <w:pPr>
        <w:pBdr>
          <w:top w:val="nil"/>
          <w:left w:val="nil"/>
          <w:bottom w:val="nil"/>
          <w:right w:val="nil"/>
          <w:between w:val="nil"/>
        </w:pBdr>
        <w:spacing w:after="0"/>
        <w:ind w:left="720" w:firstLine="720"/>
        <w:rPr>
          <w:color w:val="000000"/>
        </w:rPr>
      </w:pPr>
      <w:r>
        <w:rPr>
          <w:rFonts w:eastAsia="Times New Roman"/>
          <w:color w:val="000000"/>
        </w:rPr>
        <w:t xml:space="preserve"> G = 6.67408*10</w:t>
      </w:r>
      <w:r>
        <w:rPr>
          <w:rFonts w:eastAsia="Times New Roman"/>
          <w:color w:val="000000"/>
          <w:vertAlign w:val="superscript"/>
        </w:rPr>
        <w:t>-</w:t>
      </w:r>
      <w:proofErr w:type="gramStart"/>
      <w:r>
        <w:rPr>
          <w:rFonts w:eastAsia="Times New Roman"/>
          <w:color w:val="000000"/>
          <w:vertAlign w:val="superscript"/>
        </w:rPr>
        <w:t xml:space="preserve">11  </w:t>
      </w:r>
      <w:r>
        <w:rPr>
          <w:rFonts w:eastAsia="Times New Roman"/>
          <w:color w:val="000000"/>
        </w:rPr>
        <w:t>m</w:t>
      </w:r>
      <w:proofErr w:type="gramEnd"/>
      <w:r>
        <w:rPr>
          <w:rFonts w:eastAsia="Times New Roman"/>
          <w:color w:val="000000"/>
          <w:vertAlign w:val="superscript"/>
        </w:rPr>
        <w:t>3</w:t>
      </w:r>
      <w:r>
        <w:rPr>
          <w:rFonts w:eastAsia="Times New Roman"/>
          <w:color w:val="000000"/>
        </w:rPr>
        <w:t xml:space="preserve"> kg</w:t>
      </w:r>
      <w:r>
        <w:rPr>
          <w:rFonts w:eastAsia="Times New Roman"/>
          <w:color w:val="000000"/>
          <w:vertAlign w:val="superscript"/>
        </w:rPr>
        <w:t>-1</w:t>
      </w:r>
      <w:r>
        <w:rPr>
          <w:rFonts w:eastAsia="Times New Roman"/>
          <w:color w:val="000000"/>
        </w:rPr>
        <w:t xml:space="preserve"> s</w:t>
      </w:r>
      <w:r>
        <w:rPr>
          <w:rFonts w:eastAsia="Times New Roman"/>
          <w:color w:val="000000"/>
          <w:vertAlign w:val="superscript"/>
        </w:rPr>
        <w:t>-2</w:t>
      </w:r>
      <w:r>
        <w:rPr>
          <w:rFonts w:eastAsia="Times New Roman"/>
          <w:color w:val="000000"/>
        </w:rPr>
        <w:t xml:space="preserve"> as the gravitational constant, and;</w:t>
      </w:r>
    </w:p>
    <w:p w14:paraId="096A1749" w14:textId="5285C62F" w:rsidR="00C4224F" w:rsidRDefault="00C4224F" w:rsidP="00C4224F">
      <w:pPr>
        <w:pBdr>
          <w:top w:val="nil"/>
          <w:left w:val="nil"/>
          <w:bottom w:val="nil"/>
          <w:right w:val="nil"/>
          <w:between w:val="nil"/>
        </w:pBdr>
        <w:spacing w:after="0"/>
        <w:ind w:left="720" w:firstLine="720"/>
        <w:rPr>
          <w:color w:val="000000"/>
        </w:rPr>
      </w:pPr>
      <w:r>
        <w:rPr>
          <w:rFonts w:eastAsia="Times New Roman"/>
          <w:color w:val="000000"/>
        </w:rPr>
        <w:t xml:space="preserve"> </w:t>
      </w:r>
      <w:r>
        <w:rPr>
          <w:rFonts w:eastAsia="Times New Roman"/>
          <w:i/>
          <w:iCs/>
          <w:color w:val="000000"/>
        </w:rPr>
        <w:t>ρ</w:t>
      </w:r>
      <w:r>
        <w:rPr>
          <w:rFonts w:eastAsia="Times New Roman"/>
          <w:color w:val="000000"/>
        </w:rPr>
        <w:t xml:space="preserve"> = 2</w:t>
      </w:r>
      <w:r w:rsidR="002665E2">
        <w:rPr>
          <w:rFonts w:eastAsia="Times New Roman"/>
          <w:color w:val="000000"/>
        </w:rPr>
        <w:t>,</w:t>
      </w:r>
      <w:r>
        <w:rPr>
          <w:rFonts w:eastAsia="Times New Roman"/>
          <w:color w:val="000000"/>
        </w:rPr>
        <w:t>670 kg</w:t>
      </w:r>
      <w:r>
        <w:t>/</w:t>
      </w:r>
      <w:r>
        <w:rPr>
          <w:rFonts w:eastAsia="Times New Roman"/>
          <w:color w:val="000000"/>
        </w:rPr>
        <w:t>m</w:t>
      </w:r>
      <w:r>
        <w:rPr>
          <w:rFonts w:eastAsia="Times New Roman"/>
          <w:color w:val="000000"/>
          <w:vertAlign w:val="superscript"/>
        </w:rPr>
        <w:t xml:space="preserve">3 </w:t>
      </w:r>
      <w:r>
        <w:rPr>
          <w:rFonts w:eastAsia="Times New Roman"/>
          <w:color w:val="000000"/>
        </w:rPr>
        <w:t>for the density of the lithosp</w:t>
      </w:r>
      <w:r>
        <w:t>here (“</w:t>
      </w:r>
      <w:r>
        <w:rPr>
          <w:rFonts w:eastAsia="Times New Roman"/>
          <w:color w:val="000000"/>
        </w:rPr>
        <w:t>slab density</w:t>
      </w:r>
      <w:r>
        <w:t>”</w:t>
      </w:r>
      <w:r>
        <w:rPr>
          <w:rFonts w:eastAsia="Times New Roman"/>
          <w:color w:val="000000"/>
        </w:rPr>
        <w:t>).</w:t>
      </w:r>
    </w:p>
    <w:p w14:paraId="460C0E81" w14:textId="77777777" w:rsidR="00C4224F" w:rsidRDefault="00C4224F" w:rsidP="00C4224F">
      <w:pPr>
        <w:pBdr>
          <w:top w:val="nil"/>
          <w:left w:val="nil"/>
          <w:bottom w:val="nil"/>
          <w:right w:val="nil"/>
          <w:between w:val="nil"/>
        </w:pBdr>
        <w:spacing w:after="0"/>
        <w:ind w:left="720" w:hanging="360"/>
        <w:rPr>
          <w:color w:val="000000"/>
        </w:rPr>
      </w:pPr>
    </w:p>
    <w:p w14:paraId="57955389" w14:textId="77777777" w:rsidR="00C4224F" w:rsidRDefault="00C4224F" w:rsidP="00C4224F">
      <w:pPr>
        <w:pBdr>
          <w:top w:val="nil"/>
          <w:left w:val="nil"/>
          <w:bottom w:val="nil"/>
          <w:right w:val="nil"/>
          <w:between w:val="nil"/>
        </w:pBdr>
        <w:spacing w:after="0"/>
        <w:ind w:left="720"/>
        <w:rPr>
          <w:color w:val="000000"/>
        </w:rPr>
      </w:pPr>
      <w:r>
        <w:rPr>
          <w:rFonts w:eastAsia="Times New Roman"/>
          <w:color w:val="000000"/>
        </w:rPr>
        <w:t xml:space="preserve">You can enter these values as “variables” on the top left of the spreadsheet. </w:t>
      </w:r>
      <w:r>
        <w:rPr>
          <w:rFonts w:eastAsia="Times New Roman"/>
          <w:color w:val="000000"/>
          <w:u w:val="single"/>
        </w:rPr>
        <w:t>Hint</w:t>
      </w:r>
      <w:r>
        <w:rPr>
          <w:rFonts w:eastAsia="Times New Roman"/>
          <w:color w:val="000000"/>
        </w:rPr>
        <w:t>: when entering this equation, remember to use “$” before the column and row to force the variables to remain constant when you drag the equation down the column to fill-down (e.g. $</w:t>
      </w:r>
      <w:r>
        <w:t>B$2 for the value of G)</w:t>
      </w:r>
      <w:r>
        <w:rPr>
          <w:rFonts w:eastAsia="Times New Roman"/>
          <w:color w:val="000000"/>
        </w:rPr>
        <w:t>.</w:t>
      </w:r>
    </w:p>
    <w:p w14:paraId="16B2A575" w14:textId="77777777" w:rsidR="00C4224F" w:rsidRDefault="00C4224F" w:rsidP="00C4224F">
      <w:pPr>
        <w:pBdr>
          <w:top w:val="nil"/>
          <w:left w:val="nil"/>
          <w:bottom w:val="nil"/>
          <w:right w:val="nil"/>
          <w:between w:val="nil"/>
        </w:pBdr>
        <w:spacing w:after="0"/>
        <w:ind w:left="720" w:hanging="360"/>
        <w:rPr>
          <w:color w:val="000000"/>
        </w:rPr>
      </w:pPr>
    </w:p>
    <w:p w14:paraId="5E82488D" w14:textId="77777777" w:rsidR="00C4224F" w:rsidRDefault="00C4224F" w:rsidP="00C4224F">
      <w:pPr>
        <w:numPr>
          <w:ilvl w:val="0"/>
          <w:numId w:val="12"/>
        </w:numPr>
        <w:pBdr>
          <w:top w:val="nil"/>
          <w:left w:val="nil"/>
          <w:bottom w:val="nil"/>
          <w:right w:val="nil"/>
          <w:between w:val="nil"/>
        </w:pBdr>
        <w:spacing w:after="0"/>
      </w:pPr>
      <w:proofErr w:type="gramStart"/>
      <w:r>
        <w:rPr>
          <w:rFonts w:eastAsia="Times New Roman"/>
          <w:color w:val="000000"/>
        </w:rPr>
        <w:t>Next</w:t>
      </w:r>
      <w:proofErr w:type="gramEnd"/>
      <w:r>
        <w:rPr>
          <w:rFonts w:eastAsia="Times New Roman"/>
          <w:color w:val="000000"/>
        </w:rPr>
        <w:t xml:space="preserve"> we will calculate the </w:t>
      </w:r>
      <w:r>
        <w:rPr>
          <w:rFonts w:eastAsia="Times New Roman"/>
          <w:b/>
          <w:bCs/>
          <w:color w:val="000000"/>
        </w:rPr>
        <w:t>Bouguer Anomaly</w:t>
      </w:r>
      <w:r>
        <w:rPr>
          <w:rFonts w:eastAsia="Times New Roman"/>
          <w:color w:val="000000"/>
        </w:rPr>
        <w:t xml:space="preserve"> (</w:t>
      </w:r>
      <w:proofErr w:type="spellStart"/>
      <w:r>
        <w:rPr>
          <w:rFonts w:eastAsia="Times New Roman"/>
          <w:i/>
          <w:iCs/>
          <w:color w:val="000000"/>
        </w:rPr>
        <w:t>g</w:t>
      </w:r>
      <w:r>
        <w:rPr>
          <w:rFonts w:eastAsia="Times New Roman"/>
          <w:i/>
          <w:iCs/>
          <w:color w:val="000000"/>
          <w:vertAlign w:val="subscript"/>
        </w:rPr>
        <w:t>B</w:t>
      </w:r>
      <w:proofErr w:type="spellEnd"/>
      <w:r>
        <w:rPr>
          <w:rFonts w:eastAsia="Times New Roman"/>
          <w:color w:val="000000"/>
        </w:rPr>
        <w:t xml:space="preserve">)—not to be confused with the </w:t>
      </w:r>
      <w:r>
        <w:rPr>
          <w:rFonts w:eastAsia="Times New Roman"/>
          <w:i/>
          <w:iCs/>
          <w:color w:val="000000"/>
        </w:rPr>
        <w:t>Bouguer Correction</w:t>
      </w:r>
      <w:r>
        <w:rPr>
          <w:rFonts w:eastAsia="Times New Roman"/>
          <w:color w:val="000000"/>
        </w:rPr>
        <w:t xml:space="preserve"> that was already calculated. Th</w:t>
      </w:r>
      <w:r>
        <w:t>e Bouguer Anomaly</w:t>
      </w:r>
      <w:r>
        <w:rPr>
          <w:rFonts w:eastAsia="Times New Roman"/>
          <w:color w:val="000000"/>
        </w:rPr>
        <w:t xml:space="preserve"> is the observed gravity value </w:t>
      </w:r>
      <w:r>
        <w:t>with latitude, free-air, and Bouguer corrections applied</w:t>
      </w:r>
      <w:r>
        <w:rPr>
          <w:rFonts w:eastAsia="Times New Roman"/>
          <w:color w:val="000000"/>
        </w:rPr>
        <w:t xml:space="preserve">. This is computed by </w:t>
      </w:r>
      <w:r>
        <w:rPr>
          <w:rFonts w:eastAsia="Times New Roman"/>
          <w:color w:val="000000"/>
        </w:rPr>
        <w:lastRenderedPageBreak/>
        <w:t>starting with the drift-corrected gravity value (</w:t>
      </w:r>
      <w:r>
        <w:rPr>
          <w:rFonts w:eastAsia="Times New Roman"/>
          <w:i/>
          <w:iCs/>
          <w:color w:val="000000"/>
        </w:rPr>
        <w:t>g</w:t>
      </w:r>
      <w:r>
        <w:rPr>
          <w:rFonts w:eastAsia="Times New Roman"/>
          <w:i/>
          <w:iCs/>
          <w:color w:val="000000"/>
          <w:vertAlign w:val="subscript"/>
        </w:rPr>
        <w:t>obs</w:t>
      </w:r>
      <w:r>
        <w:rPr>
          <w:rFonts w:eastAsia="Times New Roman"/>
          <w:color w:val="000000"/>
        </w:rPr>
        <w:t>), then adding the free-air correction, subtracting the latitude correction and subtracting the Bouguer correction:</w:t>
      </w:r>
      <w:r>
        <w:rPr>
          <w:rFonts w:eastAsia="Times New Roman"/>
          <w:color w:val="000000"/>
        </w:rPr>
        <w:br/>
      </w:r>
    </w:p>
    <w:p w14:paraId="47263B43" w14:textId="77777777" w:rsidR="00C4224F" w:rsidRPr="00AD4699" w:rsidRDefault="00000000" w:rsidP="00C4224F">
      <w:pPr>
        <w:jc w:val="center"/>
        <w:rPr>
          <w:rFonts w:ascii="Cambria Math" w:eastAsia="Cambria Math" w:hAnsi="Cambria Math" w:cs="Cambria Math"/>
          <w:color w:val="000000"/>
          <w:sz w:val="36"/>
          <w:szCs w:val="36"/>
        </w:rPr>
      </w:pPr>
      <m:oMathPara>
        <m:oMath>
          <m:sSub>
            <m:sSubPr>
              <m:ctrlPr>
                <w:rPr>
                  <w:rFonts w:ascii="Cambria Math" w:eastAsia="Cambria Math" w:hAnsi="Cambria Math" w:cs="Cambria Math"/>
                  <w:color w:val="000000"/>
                  <w:sz w:val="36"/>
                  <w:szCs w:val="36"/>
                </w:rPr>
              </m:ctrlPr>
            </m:sSubPr>
            <m:e>
              <m:r>
                <w:rPr>
                  <w:rFonts w:ascii="Cambria Math" w:eastAsia="Cambria Math" w:hAnsi="Cambria Math" w:cs="Cambria Math"/>
                  <w:color w:val="000000"/>
                  <w:sz w:val="36"/>
                  <w:szCs w:val="36"/>
                </w:rPr>
                <m:t>g</m:t>
              </m:r>
            </m:e>
            <m:sub>
              <m:r>
                <w:rPr>
                  <w:rFonts w:ascii="Cambria Math" w:eastAsia="Cambria Math" w:hAnsi="Cambria Math" w:cs="Cambria Math"/>
                  <w:color w:val="000000"/>
                  <w:sz w:val="36"/>
                  <w:szCs w:val="36"/>
                </w:rPr>
                <m:t>B</m:t>
              </m:r>
            </m:sub>
          </m:sSub>
          <m:r>
            <w:rPr>
              <w:rFonts w:ascii="Cambria Math" w:eastAsia="Cambria Math" w:hAnsi="Cambria Math" w:cs="Cambria Math"/>
              <w:color w:val="000000"/>
              <w:sz w:val="36"/>
              <w:szCs w:val="36"/>
            </w:rPr>
            <m:t>=</m:t>
          </m:r>
          <m:sSub>
            <m:sSubPr>
              <m:ctrlPr>
                <w:rPr>
                  <w:rFonts w:ascii="Cambria Math" w:eastAsia="Cambria Math" w:hAnsi="Cambria Math" w:cs="Cambria Math"/>
                  <w:color w:val="000000"/>
                  <w:sz w:val="36"/>
                  <w:szCs w:val="36"/>
                </w:rPr>
              </m:ctrlPr>
            </m:sSubPr>
            <m:e>
              <m:r>
                <w:rPr>
                  <w:rFonts w:ascii="Cambria Math" w:eastAsia="Cambria Math" w:hAnsi="Cambria Math" w:cs="Cambria Math"/>
                  <w:color w:val="000000"/>
                  <w:sz w:val="36"/>
                  <w:szCs w:val="36"/>
                </w:rPr>
                <m:t>g</m:t>
              </m:r>
            </m:e>
            <m:sub>
              <m:r>
                <w:rPr>
                  <w:rFonts w:ascii="Cambria Math" w:eastAsia="Cambria Math" w:hAnsi="Cambria Math" w:cs="Cambria Math"/>
                  <w:color w:val="000000"/>
                  <w:sz w:val="36"/>
                  <w:szCs w:val="36"/>
                </w:rPr>
                <m:t>obs</m:t>
              </m:r>
            </m:sub>
          </m:sSub>
          <m:r>
            <w:rPr>
              <w:rFonts w:ascii="Cambria Math" w:eastAsia="Cambria Math" w:hAnsi="Cambria Math" w:cs="Cambria Math"/>
              <w:color w:val="000000"/>
              <w:sz w:val="36"/>
              <w:szCs w:val="36"/>
            </w:rPr>
            <m:t>+ δ</m:t>
          </m:r>
          <m:sSub>
            <m:sSubPr>
              <m:ctrlPr>
                <w:rPr>
                  <w:rFonts w:ascii="Cambria Math" w:eastAsia="Cambria Math" w:hAnsi="Cambria Math" w:cs="Cambria Math"/>
                  <w:color w:val="000000"/>
                  <w:sz w:val="36"/>
                  <w:szCs w:val="36"/>
                </w:rPr>
              </m:ctrlPr>
            </m:sSubPr>
            <m:e>
              <m:r>
                <w:rPr>
                  <w:rFonts w:ascii="Cambria Math" w:eastAsia="Cambria Math" w:hAnsi="Cambria Math" w:cs="Cambria Math"/>
                  <w:color w:val="000000"/>
                  <w:sz w:val="36"/>
                  <w:szCs w:val="36"/>
                </w:rPr>
                <m:t>g</m:t>
              </m:r>
            </m:e>
            <m:sub>
              <m:r>
                <w:rPr>
                  <w:rFonts w:ascii="Cambria Math" w:eastAsia="Cambria Math" w:hAnsi="Cambria Math" w:cs="Cambria Math"/>
                  <w:color w:val="000000"/>
                  <w:sz w:val="36"/>
                  <w:szCs w:val="36"/>
                </w:rPr>
                <m:t>FA</m:t>
              </m:r>
            </m:sub>
          </m:sSub>
          <m:r>
            <w:rPr>
              <w:rFonts w:ascii="Cambria Math" w:eastAsia="Cambria Math" w:hAnsi="Cambria Math" w:cs="Cambria Math"/>
              <w:color w:val="000000"/>
              <w:sz w:val="36"/>
              <w:szCs w:val="36"/>
            </w:rPr>
            <m:t>-δ</m:t>
          </m:r>
          <m:sSub>
            <m:sSubPr>
              <m:ctrlPr>
                <w:rPr>
                  <w:rFonts w:ascii="Cambria Math" w:eastAsia="Cambria Math" w:hAnsi="Cambria Math" w:cs="Cambria Math"/>
                  <w:color w:val="000000"/>
                  <w:sz w:val="36"/>
                  <w:szCs w:val="36"/>
                </w:rPr>
              </m:ctrlPr>
            </m:sSubPr>
            <m:e>
              <m:r>
                <w:rPr>
                  <w:rFonts w:ascii="Cambria Math" w:eastAsia="Cambria Math" w:hAnsi="Cambria Math" w:cs="Cambria Math"/>
                  <w:color w:val="000000"/>
                  <w:sz w:val="36"/>
                  <w:szCs w:val="36"/>
                </w:rPr>
                <m:t>g</m:t>
              </m:r>
            </m:e>
            <m:sub>
              <m:r>
                <w:rPr>
                  <w:rFonts w:ascii="Cambria Math" w:eastAsia="Cambria Math" w:hAnsi="Cambria Math" w:cs="Cambria Math"/>
                  <w:color w:val="000000"/>
                  <w:sz w:val="36"/>
                  <w:szCs w:val="36"/>
                </w:rPr>
                <m:t>LAT</m:t>
              </m:r>
            </m:sub>
          </m:sSub>
          <m:r>
            <w:rPr>
              <w:rFonts w:ascii="Cambria Math" w:eastAsia="Cambria Math" w:hAnsi="Cambria Math" w:cs="Cambria Math"/>
              <w:color w:val="000000"/>
              <w:sz w:val="36"/>
              <w:szCs w:val="36"/>
            </w:rPr>
            <m:t>-δ</m:t>
          </m:r>
          <m:sSub>
            <m:sSubPr>
              <m:ctrlPr>
                <w:rPr>
                  <w:rFonts w:ascii="Cambria Math" w:eastAsia="Cambria Math" w:hAnsi="Cambria Math" w:cs="Cambria Math"/>
                  <w:color w:val="000000"/>
                  <w:sz w:val="36"/>
                  <w:szCs w:val="36"/>
                </w:rPr>
              </m:ctrlPr>
            </m:sSubPr>
            <m:e>
              <m:r>
                <w:rPr>
                  <w:rFonts w:ascii="Cambria Math" w:eastAsia="Cambria Math" w:hAnsi="Cambria Math" w:cs="Cambria Math"/>
                  <w:color w:val="000000"/>
                  <w:sz w:val="36"/>
                  <w:szCs w:val="36"/>
                </w:rPr>
                <m:t>g</m:t>
              </m:r>
            </m:e>
            <m:sub>
              <m:r>
                <w:rPr>
                  <w:rFonts w:ascii="Cambria Math" w:eastAsia="Cambria Math" w:hAnsi="Cambria Math" w:cs="Cambria Math"/>
                  <w:color w:val="000000"/>
                  <w:sz w:val="36"/>
                  <w:szCs w:val="36"/>
                </w:rPr>
                <m:t>B</m:t>
              </m:r>
            </m:sub>
          </m:sSub>
        </m:oMath>
      </m:oMathPara>
    </w:p>
    <w:p w14:paraId="20BC64B7" w14:textId="77777777" w:rsidR="00C4224F" w:rsidRDefault="00C4224F" w:rsidP="00C4224F">
      <w:pPr>
        <w:pBdr>
          <w:top w:val="nil"/>
          <w:left w:val="nil"/>
          <w:bottom w:val="nil"/>
          <w:right w:val="nil"/>
          <w:between w:val="nil"/>
        </w:pBdr>
        <w:spacing w:after="0"/>
        <w:ind w:left="720" w:hanging="360"/>
        <w:rPr>
          <w:color w:val="000000"/>
        </w:rPr>
      </w:pPr>
    </w:p>
    <w:p w14:paraId="76707F1E" w14:textId="77777777" w:rsidR="00C4224F" w:rsidRDefault="00C4224F" w:rsidP="00C4224F">
      <w:pPr>
        <w:numPr>
          <w:ilvl w:val="0"/>
          <w:numId w:val="12"/>
        </w:numPr>
        <w:pBdr>
          <w:top w:val="nil"/>
          <w:left w:val="nil"/>
          <w:bottom w:val="nil"/>
          <w:right w:val="nil"/>
          <w:between w:val="nil"/>
        </w:pBdr>
        <w:spacing w:after="0"/>
      </w:pPr>
      <w:r>
        <w:rPr>
          <w:rFonts w:eastAsia="Times New Roman"/>
          <w:color w:val="000000"/>
        </w:rPr>
        <w:t xml:space="preserve">Now we have the corrections applied, but the values are still at the size of the raw observed gravity measurements, ~2,530 </w:t>
      </w:r>
      <w:proofErr w:type="spellStart"/>
      <w:r>
        <w:rPr>
          <w:rFonts w:eastAsia="Times New Roman"/>
          <w:color w:val="000000"/>
        </w:rPr>
        <w:t>mGal</w:t>
      </w:r>
      <w:proofErr w:type="spellEnd"/>
      <w:r>
        <w:rPr>
          <w:rFonts w:eastAsia="Times New Roman"/>
          <w:color w:val="000000"/>
        </w:rPr>
        <w:t xml:space="preserve">—we only need to know the </w:t>
      </w:r>
      <w:r>
        <w:rPr>
          <w:rFonts w:eastAsia="Times New Roman"/>
          <w:i/>
          <w:iCs/>
          <w:color w:val="000000"/>
        </w:rPr>
        <w:t>relative differences</w:t>
      </w:r>
      <w:r>
        <w:rPr>
          <w:rFonts w:eastAsia="Times New Roman"/>
          <w:color w:val="000000"/>
        </w:rPr>
        <w:t xml:space="preserve">. Therefore, we can </w:t>
      </w:r>
      <w:r>
        <w:rPr>
          <w:b/>
          <w:bCs/>
          <w:color w:val="000000"/>
        </w:rPr>
        <w:t>normalize</w:t>
      </w:r>
      <w:r>
        <w:rPr>
          <w:rFonts w:eastAsia="Times New Roman"/>
          <w:color w:val="000000"/>
        </w:rPr>
        <w:t xml:space="preserve"> the values: this just means to subtract the base station</w:t>
      </w:r>
      <w:r>
        <w:t>’s Bouguer Anomaly</w:t>
      </w:r>
      <w:r>
        <w:rPr>
          <w:rFonts w:eastAsia="Times New Roman"/>
          <w:color w:val="000000"/>
        </w:rPr>
        <w:t xml:space="preserve"> value from each Bouguer Anomaly measurement point. </w:t>
      </w:r>
      <w:r>
        <w:rPr>
          <w:rFonts w:eastAsia="Times New Roman"/>
          <w:color w:val="000000"/>
        </w:rPr>
        <w:br/>
      </w:r>
      <w:r>
        <w:rPr>
          <w:rFonts w:eastAsia="Times New Roman"/>
          <w:color w:val="000000"/>
        </w:rPr>
        <w:br/>
      </w:r>
      <m:oMathPara>
        <m:oMath>
          <m:r>
            <w:rPr>
              <w:rFonts w:eastAsia="Times New Roman"/>
              <w:color w:val="000000"/>
              <w:sz w:val="36"/>
              <w:szCs w:val="36"/>
            </w:rPr>
            <m:t xml:space="preserve">normalized </m:t>
          </m:r>
          <m:sSub>
            <m:sSubPr>
              <m:ctrlPr>
                <w:rPr>
                  <w:rFonts w:ascii="Cambria Math" w:hAnsi="Cambria Math"/>
                  <w:sz w:val="36"/>
                  <w:szCs w:val="36"/>
                </w:rPr>
              </m:ctrlPr>
            </m:sSubPr>
            <m:e>
              <m:r>
                <w:rPr>
                  <w:rFonts w:ascii="Cambria Math" w:hAnsi="Cambria Math"/>
                  <w:sz w:val="36"/>
                  <w:szCs w:val="36"/>
                </w:rPr>
                <m:t>g</m:t>
              </m:r>
            </m:e>
            <m:sub>
              <m:r>
                <w:rPr>
                  <w:rFonts w:ascii="Cambria Math" w:hAnsi="Cambria Math"/>
                  <w:sz w:val="36"/>
                  <w:szCs w:val="36"/>
                </w:rPr>
                <m:t>B</m:t>
              </m:r>
            </m:sub>
          </m:sSub>
          <m:r>
            <w:rPr>
              <w:rFonts w:ascii="Cambria Math" w:hAnsi="Cambria Math"/>
              <w:sz w:val="36"/>
              <w:szCs w:val="36"/>
            </w:rPr>
            <m:t>=</m:t>
          </m:r>
          <m:sSub>
            <m:sSubPr>
              <m:ctrlPr>
                <w:rPr>
                  <w:rFonts w:ascii="Cambria Math" w:hAnsi="Cambria Math"/>
                  <w:sz w:val="36"/>
                  <w:szCs w:val="36"/>
                </w:rPr>
              </m:ctrlPr>
            </m:sSubPr>
            <m:e>
              <m:r>
                <w:rPr>
                  <w:rFonts w:ascii="Cambria Math" w:hAnsi="Cambria Math"/>
                  <w:sz w:val="36"/>
                  <w:szCs w:val="36"/>
                </w:rPr>
                <m:t>g</m:t>
              </m:r>
            </m:e>
            <m:sub>
              <m:r>
                <w:rPr>
                  <w:rFonts w:ascii="Cambria Math" w:hAnsi="Cambria Math"/>
                  <w:sz w:val="36"/>
                  <w:szCs w:val="36"/>
                </w:rPr>
                <m:t>B</m:t>
              </m:r>
            </m:sub>
          </m:sSub>
          <m:r>
            <w:rPr>
              <w:rFonts w:ascii="Cambria Math" w:hAnsi="Cambria Math"/>
              <w:sz w:val="36"/>
              <w:szCs w:val="36"/>
            </w:rPr>
            <m:t>-</m:t>
          </m:r>
          <m:sSub>
            <m:sSubPr>
              <m:ctrlPr>
                <w:rPr>
                  <w:rFonts w:ascii="Cambria Math" w:hAnsi="Cambria Math"/>
                  <w:sz w:val="36"/>
                  <w:szCs w:val="36"/>
                </w:rPr>
              </m:ctrlPr>
            </m:sSubPr>
            <m:e>
              <m:r>
                <w:rPr>
                  <w:rFonts w:ascii="Cambria Math" w:hAnsi="Cambria Math"/>
                  <w:sz w:val="36"/>
                  <w:szCs w:val="36"/>
                </w:rPr>
                <m:t>g</m:t>
              </m:r>
            </m:e>
            <m:sub>
              <m:r>
                <w:rPr>
                  <w:rFonts w:ascii="Cambria Math" w:hAnsi="Cambria Math"/>
                  <w:sz w:val="36"/>
                  <w:szCs w:val="36"/>
                </w:rPr>
                <m:t>base station</m:t>
              </m:r>
            </m:sub>
          </m:sSub>
        </m:oMath>
      </m:oMathPara>
    </w:p>
    <w:p w14:paraId="54C99C68" w14:textId="77777777" w:rsidR="00C4224F" w:rsidRDefault="00C4224F" w:rsidP="00C4224F">
      <w:pPr>
        <w:pBdr>
          <w:top w:val="nil"/>
          <w:left w:val="nil"/>
          <w:bottom w:val="nil"/>
          <w:right w:val="nil"/>
          <w:between w:val="nil"/>
        </w:pBdr>
        <w:spacing w:after="0"/>
        <w:ind w:left="720" w:hanging="360"/>
        <w:rPr>
          <w:color w:val="000000"/>
        </w:rPr>
      </w:pPr>
    </w:p>
    <w:p w14:paraId="55821B05" w14:textId="77777777" w:rsidR="00C4224F" w:rsidRDefault="00C4224F" w:rsidP="00C4224F">
      <w:pPr>
        <w:numPr>
          <w:ilvl w:val="0"/>
          <w:numId w:val="12"/>
        </w:numPr>
        <w:pBdr>
          <w:top w:val="nil"/>
          <w:left w:val="nil"/>
          <w:bottom w:val="nil"/>
          <w:right w:val="nil"/>
          <w:between w:val="nil"/>
        </w:pBdr>
        <w:spacing w:after="0"/>
      </w:pPr>
      <w:r>
        <w:rPr>
          <w:rFonts w:eastAsia="Times New Roman"/>
          <w:color w:val="000000"/>
        </w:rPr>
        <w:t xml:space="preserve">The final gravitational effect we need to account for is known as the “local trend.” This is caused by any known or unknown major geological structure, sometimes deep below the surface. In the case of this dataset, there is a known near-surface target near the center of the transect, therefore we can look at the slope between the two ends of the transect to establish the local trend. Copy the “point along profile” distance and normalized Bouguer anomaly onto the bottom left of the workbook under the green headings. Plot these data and add a linear regression line. Delete the data points associated with the sinkhole anomaly from points along the profile </w:t>
      </w:r>
      <w:r>
        <w:t>starting at</w:t>
      </w:r>
      <w:r>
        <w:rPr>
          <w:rFonts w:eastAsia="Times New Roman"/>
          <w:color w:val="000000"/>
        </w:rPr>
        <w:t xml:space="preserve"> 80 m through 160 m. The slope and intercept from the regression calculation </w:t>
      </w:r>
      <w:r>
        <w:t>should</w:t>
      </w:r>
      <w:r>
        <w:rPr>
          <w:rFonts w:eastAsia="Times New Roman"/>
          <w:color w:val="000000"/>
        </w:rPr>
        <w:t xml:space="preserve"> automatically populate onto the appropriately labeled cells in the “variables” section on the top left. </w:t>
      </w:r>
    </w:p>
    <w:p w14:paraId="7B537577" w14:textId="77777777" w:rsidR="00C4224F" w:rsidRDefault="00C4224F" w:rsidP="00C4224F">
      <w:pPr>
        <w:pBdr>
          <w:top w:val="nil"/>
          <w:left w:val="nil"/>
          <w:bottom w:val="nil"/>
          <w:right w:val="nil"/>
          <w:between w:val="nil"/>
        </w:pBdr>
        <w:spacing w:after="0"/>
        <w:ind w:left="720" w:hanging="360"/>
        <w:rPr>
          <w:color w:val="000000"/>
        </w:rPr>
      </w:pPr>
    </w:p>
    <w:p w14:paraId="4BCE5097" w14:textId="77777777" w:rsidR="00C4224F" w:rsidRDefault="00C4224F" w:rsidP="00C4224F">
      <w:pPr>
        <w:numPr>
          <w:ilvl w:val="0"/>
          <w:numId w:val="12"/>
        </w:numPr>
        <w:pBdr>
          <w:top w:val="nil"/>
          <w:left w:val="nil"/>
          <w:bottom w:val="nil"/>
          <w:right w:val="nil"/>
          <w:between w:val="nil"/>
        </w:pBdr>
        <w:spacing w:after="0"/>
      </w:pPr>
      <w:r>
        <w:rPr>
          <w:rFonts w:eastAsia="Times New Roman"/>
          <w:color w:val="000000"/>
        </w:rPr>
        <w:t xml:space="preserve">The Local Trend coefficient is simply the regression equation from the previous step calculated for each point along the profile in the form of y = </w:t>
      </w:r>
      <w:proofErr w:type="spellStart"/>
      <w:r>
        <w:rPr>
          <w:rFonts w:eastAsia="Times New Roman"/>
          <w:color w:val="000000"/>
        </w:rPr>
        <w:t>mx+b</w:t>
      </w:r>
      <w:proofErr w:type="spellEnd"/>
      <w:r>
        <w:rPr>
          <w:rFonts w:eastAsia="Times New Roman"/>
          <w:color w:val="000000"/>
        </w:rPr>
        <w:t xml:space="preserve"> and is automatically calculated by the workbook. [</w:t>
      </w:r>
      <w:r>
        <w:t>I</w:t>
      </w:r>
      <w:r>
        <w:rPr>
          <w:rFonts w:eastAsia="Times New Roman"/>
          <w:color w:val="000000"/>
        </w:rPr>
        <w:t xml:space="preserve">f you calculated the regression yourself, subtract the Local Trend Coefficient (column P) from the Normalized Bouguer Anomaly (column O) then plot the Bouguer-Local trend (column </w:t>
      </w:r>
      <w:r>
        <w:t>Q</w:t>
      </w:r>
      <w:r>
        <w:rPr>
          <w:rFonts w:eastAsia="Times New Roman"/>
          <w:color w:val="000000"/>
        </w:rPr>
        <w:t>) against point along the profile (column A) so that distance is on the x-axis.]</w:t>
      </w:r>
    </w:p>
    <w:p w14:paraId="44F67C29" w14:textId="77777777" w:rsidR="00C4224F" w:rsidRDefault="00C4224F" w:rsidP="00C4224F">
      <w:pPr>
        <w:pBdr>
          <w:top w:val="nil"/>
          <w:left w:val="nil"/>
          <w:bottom w:val="nil"/>
          <w:right w:val="nil"/>
          <w:between w:val="nil"/>
        </w:pBdr>
        <w:spacing w:after="0"/>
        <w:ind w:left="720" w:hanging="360"/>
        <w:rPr>
          <w:color w:val="000000"/>
        </w:rPr>
      </w:pPr>
    </w:p>
    <w:p w14:paraId="3F05F96D" w14:textId="77777777" w:rsidR="00C4224F" w:rsidRDefault="00C4224F" w:rsidP="00C4224F">
      <w:pPr>
        <w:numPr>
          <w:ilvl w:val="0"/>
          <w:numId w:val="12"/>
        </w:numPr>
        <w:pBdr>
          <w:top w:val="nil"/>
          <w:left w:val="nil"/>
          <w:bottom w:val="nil"/>
          <w:right w:val="nil"/>
          <w:between w:val="nil"/>
        </w:pBdr>
        <w:spacing w:after="0"/>
      </w:pPr>
      <w:r>
        <w:rPr>
          <w:rFonts w:eastAsia="Times New Roman"/>
          <w:color w:val="000000"/>
        </w:rPr>
        <w:t>At this point you should have a graph on your work</w:t>
      </w:r>
      <w:r>
        <w:t>book</w:t>
      </w:r>
      <w:r>
        <w:rPr>
          <w:rFonts w:eastAsia="Times New Roman"/>
          <w:color w:val="000000"/>
        </w:rPr>
        <w:t xml:space="preserve"> showing the Bouguer-Local trend anomaly with </w:t>
      </w:r>
      <w:proofErr w:type="spellStart"/>
      <w:r>
        <w:rPr>
          <w:rFonts w:eastAsia="Times New Roman"/>
          <w:color w:val="000000"/>
        </w:rPr>
        <w:t>mGal</w:t>
      </w:r>
      <w:proofErr w:type="spellEnd"/>
      <w:r>
        <w:rPr>
          <w:rFonts w:eastAsia="Times New Roman"/>
          <w:color w:val="000000"/>
        </w:rPr>
        <w:t xml:space="preserve"> on the y-axis and distance on the x-axis. </w:t>
      </w:r>
      <w:r>
        <w:t>T</w:t>
      </w:r>
      <w:r>
        <w:rPr>
          <w:rFonts w:eastAsia="Times New Roman"/>
          <w:color w:val="000000"/>
        </w:rPr>
        <w:t>he pattern of points should look roughly like the letter “V.”</w:t>
      </w:r>
    </w:p>
    <w:p w14:paraId="633E9DD7" w14:textId="77777777" w:rsidR="00C4224F" w:rsidRDefault="00C4224F" w:rsidP="00C4224F"/>
    <w:p w14:paraId="743A39BD" w14:textId="77777777" w:rsidR="00C4224F" w:rsidRDefault="00C4224F" w:rsidP="00C4224F">
      <w:pPr>
        <w:pStyle w:val="Heading1"/>
      </w:pPr>
      <w:r>
        <w:t>1.3 Interpretation, limitations, and extension to other sites</w:t>
      </w:r>
    </w:p>
    <w:p w14:paraId="78C5F26E" w14:textId="77777777" w:rsidR="00C4224F" w:rsidRDefault="00C4224F" w:rsidP="00C4224F">
      <w:pPr>
        <w:numPr>
          <w:ilvl w:val="0"/>
          <w:numId w:val="11"/>
        </w:numPr>
        <w:pBdr>
          <w:top w:val="nil"/>
          <w:left w:val="nil"/>
          <w:bottom w:val="nil"/>
          <w:right w:val="nil"/>
          <w:between w:val="nil"/>
        </w:pBdr>
        <w:spacing w:after="0"/>
        <w:rPr>
          <w:b/>
          <w:bCs/>
          <w:color w:val="000000"/>
        </w:rPr>
      </w:pPr>
      <w:r>
        <w:rPr>
          <w:rFonts w:eastAsia="Times New Roman"/>
          <w:b/>
          <w:bCs/>
          <w:color w:val="000000"/>
        </w:rPr>
        <w:t>Interpretation:</w:t>
      </w:r>
    </w:p>
    <w:p w14:paraId="5CF26005" w14:textId="77777777" w:rsidR="00C4224F" w:rsidRDefault="00C4224F" w:rsidP="00C4224F">
      <w:pPr>
        <w:numPr>
          <w:ilvl w:val="1"/>
          <w:numId w:val="11"/>
        </w:numPr>
        <w:pBdr>
          <w:top w:val="nil"/>
          <w:left w:val="nil"/>
          <w:bottom w:val="nil"/>
          <w:right w:val="nil"/>
          <w:between w:val="nil"/>
        </w:pBdr>
        <w:spacing w:after="0"/>
      </w:pPr>
      <w:r>
        <w:rPr>
          <w:rFonts w:eastAsia="Times New Roman"/>
          <w:color w:val="000000"/>
        </w:rPr>
        <w:t xml:space="preserve">Describe the pattern you discovered in your final figure showing the Bouguer anomaly subtracted from the local trend over the distance of the survey line. Does this match your expectations of what the anomaly would look like for a void space? </w:t>
      </w:r>
    </w:p>
    <w:p w14:paraId="595A759C" w14:textId="77777777" w:rsidR="00C4224F" w:rsidRDefault="00C4224F" w:rsidP="00C4224F">
      <w:pPr>
        <w:numPr>
          <w:ilvl w:val="1"/>
          <w:numId w:val="11"/>
        </w:numPr>
        <w:pBdr>
          <w:top w:val="nil"/>
          <w:left w:val="nil"/>
          <w:bottom w:val="nil"/>
          <w:right w:val="nil"/>
          <w:between w:val="nil"/>
        </w:pBdr>
        <w:spacing w:after="0"/>
      </w:pPr>
      <w:r>
        <w:rPr>
          <w:rFonts w:eastAsia="Times New Roman"/>
          <w:color w:val="000000"/>
        </w:rPr>
        <w:t xml:space="preserve">How would you interpret gravity anomaly values close to zero </w:t>
      </w:r>
      <w:proofErr w:type="spellStart"/>
      <w:r>
        <w:rPr>
          <w:rFonts w:eastAsia="Times New Roman"/>
          <w:color w:val="000000"/>
        </w:rPr>
        <w:t>mGal</w:t>
      </w:r>
      <w:proofErr w:type="spellEnd"/>
      <w:r>
        <w:rPr>
          <w:rFonts w:eastAsia="Times New Roman"/>
          <w:color w:val="000000"/>
        </w:rPr>
        <w:t>? How would you interpret the anomaly values that are negative? How would you interpret the gravity anomaly values that are positive?</w:t>
      </w:r>
    </w:p>
    <w:p w14:paraId="3CC98577" w14:textId="4F6BD9CE" w:rsidR="00AD4699" w:rsidRDefault="00C4224F" w:rsidP="00AD4699">
      <w:pPr>
        <w:pStyle w:val="Captiontext"/>
        <w:numPr>
          <w:ilvl w:val="1"/>
          <w:numId w:val="11"/>
        </w:num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Based on the schematic subsurface cross section shown below from Parker (1992) and your results, what is your interpretation of the current subsurface structure and physical properties? </w:t>
      </w:r>
      <w:r>
        <w:t xml:space="preserve">Where along the profile do you expect the sinkhole to exist? </w:t>
      </w:r>
      <w:r>
        <w:rPr>
          <w:rFonts w:ascii="Times New Roman" w:eastAsia="Times New Roman" w:hAnsi="Times New Roman" w:cs="Times New Roman"/>
          <w:color w:val="000000"/>
          <w:sz w:val="24"/>
          <w:szCs w:val="24"/>
        </w:rPr>
        <w:t>What processes might have taken place in the past that resulted in this modern subsurface structure?</w:t>
      </w:r>
    </w:p>
    <w:p w14:paraId="41656F85" w14:textId="77777777" w:rsidR="00AD4699" w:rsidRDefault="00AD4699" w:rsidP="00AD4699">
      <w:pPr>
        <w:pStyle w:val="Captiontext"/>
        <w:rPr>
          <w:rFonts w:ascii="Times New Roman" w:eastAsia="Times New Roman" w:hAnsi="Times New Roman" w:cs="Times New Roman"/>
          <w:color w:val="000000"/>
          <w:sz w:val="24"/>
          <w:szCs w:val="24"/>
        </w:rPr>
      </w:pPr>
    </w:p>
    <w:p w14:paraId="7E5EBAAF" w14:textId="1A120C10" w:rsidR="00C4224F" w:rsidRDefault="00C4224F" w:rsidP="00AD4699">
      <w:pPr>
        <w:pStyle w:val="Captiontext"/>
        <w:jc w:val="center"/>
      </w:pPr>
      <w:r>
        <w:rPr>
          <w:noProof/>
        </w:rPr>
        <w:drawing>
          <wp:inline distT="0" distB="0" distL="0" distR="0" wp14:anchorId="3960F218" wp14:editId="1AA84D90">
            <wp:extent cx="4654868" cy="1732486"/>
            <wp:effectExtent l="0" t="0" r="0" b="0"/>
            <wp:docPr id="1" name="image3.png" descr="Stratigraphic diagram illustrating subsurface layers from surface to 20 meters depth, showing loose sand, silty clayey sand, silty fine sand, sandy clay, weathered, and limestone with labeled surficial aquifer and confining layer. In the middle of the profile, there is a V-shape into which each layer of sediment is sinking."/>
            <wp:cNvGraphicFramePr/>
            <a:graphic xmlns:a="http://schemas.openxmlformats.org/drawingml/2006/main">
              <a:graphicData uri="http://schemas.openxmlformats.org/drawingml/2006/picture">
                <pic:pic xmlns:pic="http://schemas.openxmlformats.org/drawingml/2006/picture">
                  <pic:nvPicPr>
                    <pic:cNvPr id="1" name="image3.png" descr="Stratigraphic diagram illustrating subsurface layers from surface to 20 meters depth, showing loose sand, silty clayey sand, silty fine sand, sandy clay, weathered, and limestone with labeled surficial aquifer and confining layer. In the middle of the profile, there is a V-shape into which each layer of sediment is sinking."/>
                    <pic:cNvPicPr preferRelativeResize="0"/>
                  </pic:nvPicPr>
                  <pic:blipFill>
                    <a:blip r:embed="rId8"/>
                    <a:srcRect t="4595" b="57071"/>
                    <a:stretch>
                      <a:fillRect/>
                    </a:stretch>
                  </pic:blipFill>
                  <pic:spPr>
                    <a:xfrm>
                      <a:off x="0" y="0"/>
                      <a:ext cx="4654868" cy="1732486"/>
                    </a:xfrm>
                    <a:prstGeom prst="rect">
                      <a:avLst/>
                    </a:prstGeom>
                    <a:ln/>
                  </pic:spPr>
                </pic:pic>
              </a:graphicData>
            </a:graphic>
          </wp:inline>
        </w:drawing>
      </w:r>
      <w:r w:rsidR="00AD4699">
        <w:rPr>
          <w:rFonts w:eastAsia="Times New Roman"/>
          <w:color w:val="000000"/>
        </w:rPr>
        <w:br/>
      </w:r>
      <w:r w:rsidR="00AD4699">
        <w:rPr>
          <w:rFonts w:eastAsia="Times New Roman"/>
          <w:color w:val="000000"/>
        </w:rPr>
        <w:br/>
      </w:r>
      <w:r w:rsidR="00AD4699">
        <w:t>Figure 1. Subsurface cross section from Parker (1992).</w:t>
      </w:r>
      <w:r w:rsidR="00AD4699">
        <w:rPr>
          <w:rFonts w:eastAsia="Times New Roman"/>
          <w:color w:val="000000"/>
        </w:rPr>
        <w:br/>
      </w:r>
    </w:p>
    <w:p w14:paraId="132CC3B0" w14:textId="77777777" w:rsidR="00C4224F" w:rsidRDefault="00C4224F" w:rsidP="00C4224F">
      <w:pPr>
        <w:numPr>
          <w:ilvl w:val="1"/>
          <w:numId w:val="11"/>
        </w:numPr>
        <w:pBdr>
          <w:top w:val="nil"/>
          <w:left w:val="nil"/>
          <w:bottom w:val="nil"/>
          <w:right w:val="nil"/>
          <w:between w:val="nil"/>
        </w:pBdr>
        <w:spacing w:after="0"/>
      </w:pPr>
      <w:r>
        <w:t>Examine your raw gravity data and compare it with your Bouguer-Local trend data. Explain why the corrections you applied were necessary even on such a small and relatively flat survey.</w:t>
      </w:r>
    </w:p>
    <w:p w14:paraId="375BF102" w14:textId="77777777" w:rsidR="00C4224F" w:rsidRDefault="00C4224F" w:rsidP="00C4224F">
      <w:pPr>
        <w:keepNext/>
        <w:pBdr>
          <w:top w:val="nil"/>
          <w:left w:val="nil"/>
          <w:bottom w:val="nil"/>
          <w:right w:val="nil"/>
          <w:between w:val="nil"/>
        </w:pBdr>
        <w:spacing w:after="0"/>
        <w:ind w:left="720" w:hanging="360"/>
        <w:jc w:val="center"/>
        <w:rPr>
          <w:color w:val="000000"/>
        </w:rPr>
      </w:pPr>
    </w:p>
    <w:p w14:paraId="085A427C" w14:textId="77777777" w:rsidR="00C4224F" w:rsidRDefault="00C4224F" w:rsidP="00C4224F">
      <w:pPr>
        <w:numPr>
          <w:ilvl w:val="0"/>
          <w:numId w:val="11"/>
        </w:numPr>
        <w:pBdr>
          <w:top w:val="nil"/>
          <w:left w:val="nil"/>
          <w:bottom w:val="nil"/>
          <w:right w:val="nil"/>
          <w:between w:val="nil"/>
        </w:pBdr>
        <w:spacing w:after="0"/>
        <w:rPr>
          <w:b/>
          <w:bCs/>
          <w:color w:val="000000"/>
        </w:rPr>
      </w:pPr>
      <w:r>
        <w:rPr>
          <w:rFonts w:eastAsia="Times New Roman"/>
          <w:b/>
          <w:bCs/>
          <w:color w:val="000000"/>
        </w:rPr>
        <w:t>Limitations:</w:t>
      </w:r>
    </w:p>
    <w:p w14:paraId="09B53184" w14:textId="77777777" w:rsidR="00C4224F" w:rsidRDefault="00C4224F" w:rsidP="00C4224F">
      <w:pPr>
        <w:numPr>
          <w:ilvl w:val="1"/>
          <w:numId w:val="11"/>
        </w:numPr>
        <w:pBdr>
          <w:top w:val="nil"/>
          <w:left w:val="nil"/>
          <w:bottom w:val="nil"/>
          <w:right w:val="nil"/>
          <w:between w:val="nil"/>
        </w:pBdr>
        <w:spacing w:after="0"/>
      </w:pPr>
      <w:r>
        <w:rPr>
          <w:rFonts w:eastAsia="Times New Roman"/>
          <w:color w:val="000000"/>
        </w:rPr>
        <w:t>If you only had the gravity data and no other information, what would be a key challenge limiting your interpretation?</w:t>
      </w:r>
    </w:p>
    <w:p w14:paraId="07395DB6" w14:textId="77777777" w:rsidR="00C4224F" w:rsidRDefault="00C4224F" w:rsidP="00C4224F">
      <w:pPr>
        <w:numPr>
          <w:ilvl w:val="1"/>
          <w:numId w:val="11"/>
        </w:numPr>
        <w:pBdr>
          <w:top w:val="nil"/>
          <w:left w:val="nil"/>
          <w:bottom w:val="nil"/>
          <w:right w:val="nil"/>
          <w:between w:val="nil"/>
        </w:pBdr>
        <w:spacing w:after="0"/>
      </w:pPr>
      <w:r>
        <w:rPr>
          <w:rFonts w:eastAsia="Times New Roman"/>
          <w:color w:val="000000"/>
        </w:rPr>
        <w:t xml:space="preserve">Explain what “nonuniqueness” means. </w:t>
      </w:r>
      <w:r>
        <w:t>Draw</w:t>
      </w:r>
      <w:r>
        <w:rPr>
          <w:rFonts w:eastAsia="Times New Roman"/>
          <w:color w:val="000000"/>
        </w:rPr>
        <w:t xml:space="preserve"> two example </w:t>
      </w:r>
      <w:r>
        <w:t>cross-sections</w:t>
      </w:r>
      <w:r>
        <w:rPr>
          <w:rFonts w:eastAsia="Times New Roman"/>
          <w:color w:val="000000"/>
        </w:rPr>
        <w:t xml:space="preserve"> </w:t>
      </w:r>
      <w:r>
        <w:t xml:space="preserve">using different interpretations </w:t>
      </w:r>
      <w:r>
        <w:rPr>
          <w:rFonts w:eastAsia="Times New Roman"/>
          <w:color w:val="000000"/>
        </w:rPr>
        <w:t xml:space="preserve">of your results </w:t>
      </w:r>
      <w:r>
        <w:t>to</w:t>
      </w:r>
      <w:r>
        <w:rPr>
          <w:rFonts w:eastAsia="Times New Roman"/>
          <w:color w:val="000000"/>
        </w:rPr>
        <w:t xml:space="preserve"> illustrate the limitations of nonuniqueness. In your diagrams, be sure to specify spatial scales (width and depth) and physical properties (density) of the subsurface.</w:t>
      </w:r>
    </w:p>
    <w:p w14:paraId="3ECCD0E8" w14:textId="77777777" w:rsidR="00C4224F" w:rsidRDefault="00C4224F" w:rsidP="00C4224F">
      <w:pPr>
        <w:numPr>
          <w:ilvl w:val="0"/>
          <w:numId w:val="11"/>
        </w:numPr>
        <w:pBdr>
          <w:top w:val="nil"/>
          <w:left w:val="nil"/>
          <w:bottom w:val="nil"/>
          <w:right w:val="nil"/>
          <w:between w:val="nil"/>
        </w:pBdr>
        <w:spacing w:after="0"/>
        <w:rPr>
          <w:b/>
          <w:bCs/>
          <w:color w:val="000000"/>
        </w:rPr>
      </w:pPr>
      <w:r>
        <w:rPr>
          <w:rFonts w:eastAsia="Times New Roman"/>
          <w:b/>
          <w:bCs/>
          <w:color w:val="000000"/>
        </w:rPr>
        <w:t>Extension:</w:t>
      </w:r>
    </w:p>
    <w:p w14:paraId="52771A30" w14:textId="77777777" w:rsidR="00C4224F" w:rsidRDefault="00C4224F" w:rsidP="00C4224F">
      <w:pPr>
        <w:numPr>
          <w:ilvl w:val="1"/>
          <w:numId w:val="11"/>
        </w:numPr>
        <w:pBdr>
          <w:top w:val="nil"/>
          <w:left w:val="nil"/>
          <w:bottom w:val="nil"/>
          <w:right w:val="nil"/>
          <w:between w:val="nil"/>
        </w:pBdr>
        <w:spacing w:after="0"/>
      </w:pPr>
      <w:r>
        <w:rPr>
          <w:rFonts w:eastAsia="Times New Roman"/>
          <w:color w:val="000000"/>
        </w:rPr>
        <w:t>What are examples of density variations underground in your area that might produce a gravity anomaly if measured using a similar method to the GeoPark sinkhole dataset?</w:t>
      </w:r>
    </w:p>
    <w:p w14:paraId="3E348F56" w14:textId="77777777" w:rsidR="00C4224F" w:rsidRDefault="00C4224F" w:rsidP="00C4224F">
      <w:pPr>
        <w:numPr>
          <w:ilvl w:val="1"/>
          <w:numId w:val="11"/>
        </w:numPr>
        <w:pBdr>
          <w:top w:val="nil"/>
          <w:left w:val="nil"/>
          <w:bottom w:val="nil"/>
          <w:right w:val="nil"/>
          <w:between w:val="nil"/>
        </w:pBdr>
        <w:spacing w:after="0"/>
      </w:pPr>
      <w:r>
        <w:rPr>
          <w:rFonts w:eastAsia="Times New Roman"/>
          <w:color w:val="000000"/>
        </w:rPr>
        <w:t>Can you think of any other examples of environmental targets that could result in measurable gravity anomalies?</w:t>
      </w:r>
    </w:p>
    <w:p w14:paraId="016B9F4D" w14:textId="77777777" w:rsidR="00C4224F" w:rsidRDefault="00C4224F" w:rsidP="00C4224F">
      <w:pPr>
        <w:numPr>
          <w:ilvl w:val="1"/>
          <w:numId w:val="11"/>
        </w:numPr>
        <w:pBdr>
          <w:top w:val="nil"/>
          <w:left w:val="nil"/>
          <w:bottom w:val="nil"/>
          <w:right w:val="nil"/>
          <w:between w:val="nil"/>
        </w:pBdr>
        <w:spacing w:after="0"/>
      </w:pPr>
      <w:r>
        <w:rPr>
          <w:rFonts w:eastAsia="Times New Roman"/>
          <w:color w:val="000000"/>
        </w:rPr>
        <w:t>Brainstorm some natural processes that might cause the local gravity to change over time. What could cause the density underground to change over the course of hours? Days? Months? Years?</w:t>
      </w:r>
    </w:p>
    <w:p w14:paraId="18CB0446" w14:textId="77777777" w:rsidR="00C4224F" w:rsidRDefault="00C4224F" w:rsidP="00C4224F">
      <w:pPr>
        <w:pBdr>
          <w:top w:val="nil"/>
          <w:left w:val="nil"/>
          <w:bottom w:val="nil"/>
          <w:right w:val="nil"/>
          <w:between w:val="nil"/>
        </w:pBdr>
        <w:spacing w:after="0"/>
      </w:pPr>
    </w:p>
    <w:p w14:paraId="7AD8B1D9" w14:textId="3F6FA6DB" w:rsidR="00C4224F" w:rsidRDefault="00C4224F" w:rsidP="00C4224F">
      <w:pPr>
        <w:pBdr>
          <w:top w:val="nil"/>
          <w:left w:val="nil"/>
          <w:bottom w:val="nil"/>
          <w:right w:val="nil"/>
          <w:between w:val="nil"/>
        </w:pBdr>
        <w:spacing w:after="0"/>
        <w:rPr>
          <w:color w:val="000000"/>
        </w:rPr>
      </w:pPr>
      <w:r>
        <w:rPr>
          <w:rFonts w:ascii="Arial" w:eastAsia="Arial" w:hAnsi="Arial" w:cs="Arial"/>
          <w:b/>
          <w:bCs/>
        </w:rPr>
        <w:t>1.4 Evaluation/Assessment</w:t>
      </w:r>
      <w:r>
        <w:br/>
      </w:r>
      <w:r>
        <w:br/>
        <w:t>Please prepare a lab report that includes a summary of your procedure, an explanation of your results, and answers to each of the questions above.</w:t>
      </w:r>
    </w:p>
    <w:p w14:paraId="403AF8C6" w14:textId="77777777" w:rsidR="00C4224F" w:rsidRDefault="00C4224F" w:rsidP="00C4224F">
      <w:pPr>
        <w:pBdr>
          <w:top w:val="nil"/>
          <w:left w:val="nil"/>
          <w:bottom w:val="nil"/>
          <w:right w:val="nil"/>
          <w:between w:val="nil"/>
        </w:pBdr>
        <w:spacing w:after="0"/>
      </w:pPr>
    </w:p>
    <w:p w14:paraId="0BFC7EDF" w14:textId="77777777" w:rsidR="00C4224F" w:rsidRPr="00C4224F" w:rsidRDefault="00C4224F" w:rsidP="00C4224F"/>
    <w:sectPr w:rsidR="00C4224F" w:rsidRPr="00C4224F" w:rsidSect="006C674F">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AE8904" w14:textId="77777777" w:rsidR="00B838DA" w:rsidRDefault="00B838DA" w:rsidP="008D0B9B">
      <w:r>
        <w:separator/>
      </w:r>
    </w:p>
  </w:endnote>
  <w:endnote w:type="continuationSeparator" w:id="0">
    <w:p w14:paraId="6C91CE8C" w14:textId="77777777" w:rsidR="00B838DA" w:rsidRDefault="00B838DA" w:rsidP="008D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69DA22" w14:textId="77777777" w:rsidR="00C13A0E" w:rsidRDefault="00C13A0E" w:rsidP="00DE50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E209E4" w14:textId="77777777" w:rsidR="00C13A0E" w:rsidRDefault="00C13A0E" w:rsidP="00222B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9F4164" w14:textId="12D31256" w:rsidR="00C13A0E" w:rsidRPr="00A1626C" w:rsidRDefault="00C13A0E" w:rsidP="00CE5C0A">
    <w:pPr>
      <w:pStyle w:val="footertext"/>
      <w:rPr>
        <w:noProof/>
      </w:rPr>
    </w:pPr>
    <w:r w:rsidRPr="00A1626C">
      <w:t>Quest</w:t>
    </w:r>
    <w:r>
      <w:t xml:space="preserve">ions or comments please contact </w:t>
    </w:r>
    <w:r w:rsidR="00EC7EF0">
      <w:rPr>
        <w:u w:val="single"/>
      </w:rPr>
      <w:t>education</w:t>
    </w:r>
    <w:r w:rsidR="00C4224F">
      <w:rPr>
        <w:u w:val="single"/>
      </w:rPr>
      <w:t>@</w:t>
    </w:r>
    <w:r w:rsidR="00CE5C0A">
      <w:rPr>
        <w:u w:val="single"/>
      </w:rPr>
      <w:t>earthscope</w:t>
    </w:r>
    <w:r w:rsidRPr="006E16DC">
      <w:rPr>
        <w:u w:val="single"/>
      </w:rPr>
      <w:t>.org</w:t>
    </w:r>
    <w:r w:rsidRPr="00A1626C">
      <w:tab/>
      <w:t>Page</w:t>
    </w:r>
    <w:r>
      <w:t xml:space="preserve"> </w:t>
    </w:r>
    <w:r w:rsidRPr="00070ABA">
      <w:fldChar w:fldCharType="begin"/>
    </w:r>
    <w:r w:rsidRPr="00070ABA">
      <w:instrText xml:space="preserve"> PAGE   \* MERGEFORMAT </w:instrText>
    </w:r>
    <w:r w:rsidRPr="00070ABA">
      <w:fldChar w:fldCharType="separate"/>
    </w:r>
    <w:r w:rsidR="00EC7EF0">
      <w:rPr>
        <w:noProof/>
      </w:rPr>
      <w:t>2</w:t>
    </w:r>
    <w:r w:rsidRPr="00070AB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AA2C6B" w14:textId="17410ADC" w:rsidR="00C13A0E" w:rsidRDefault="00C13A0E" w:rsidP="00CE5C0A">
    <w:pPr>
      <w:pStyle w:val="footertext"/>
      <w:spacing w:line="220" w:lineRule="exact"/>
    </w:pPr>
    <w:r w:rsidRPr="00A1626C">
      <w:t>Quest</w:t>
    </w:r>
    <w:r>
      <w:t xml:space="preserve">ions or comments please contact </w:t>
    </w:r>
    <w:r w:rsidR="0092653B">
      <w:rPr>
        <w:u w:val="single"/>
      </w:rPr>
      <w:t>education</w:t>
    </w:r>
    <w:r w:rsidR="001E6927">
      <w:rPr>
        <w:u w:val="single"/>
      </w:rPr>
      <w:t>@</w:t>
    </w:r>
    <w:r w:rsidR="00CE5C0A">
      <w:rPr>
        <w:u w:val="single"/>
      </w:rPr>
      <w:t>earthscope</w:t>
    </w:r>
    <w:r w:rsidRPr="00134974">
      <w:rPr>
        <w:u w:val="single"/>
      </w:rPr>
      <w:t>.</w:t>
    </w:r>
    <w:r w:rsidRPr="008F6116">
      <w:rPr>
        <w:u w:val="single"/>
      </w:rPr>
      <w:t>org</w:t>
    </w:r>
    <w:r w:rsidR="00CE5C0A">
      <w:t xml:space="preserve">. </w:t>
    </w:r>
    <w:r w:rsidR="00CE5C0A">
      <w:rPr>
        <w:noProof/>
      </w:rPr>
      <w:t xml:space="preserve">Version </w:t>
    </w:r>
    <w:r w:rsidR="00C4224F">
      <w:rPr>
        <w:noProof/>
      </w:rPr>
      <w:t>July</w:t>
    </w:r>
    <w:r w:rsidR="001E6927">
      <w:rPr>
        <w:noProof/>
      </w:rPr>
      <w:t xml:space="preserve"> </w:t>
    </w:r>
    <w:r w:rsidR="00C4224F">
      <w:rPr>
        <w:noProof/>
      </w:rPr>
      <w:t>13</w:t>
    </w:r>
    <w:r w:rsidR="00CE5C0A">
      <w:rPr>
        <w:noProof/>
      </w:rPr>
      <w:t xml:space="preserve">, </w:t>
    </w:r>
    <w:r w:rsidR="001E6927">
      <w:rPr>
        <w:noProof/>
      </w:rPr>
      <w:t>2026</w:t>
    </w:r>
    <w:r>
      <w:tab/>
      <w:t xml:space="preserve">Page </w:t>
    </w:r>
    <w:r w:rsidRPr="00070ABA">
      <w:fldChar w:fldCharType="begin"/>
    </w:r>
    <w:r w:rsidRPr="00070ABA">
      <w:instrText xml:space="preserve"> PAGE   \* MERGEFORMAT </w:instrText>
    </w:r>
    <w:r w:rsidRPr="00070ABA">
      <w:fldChar w:fldCharType="separate"/>
    </w:r>
    <w:r w:rsidR="00EC7EF0">
      <w:rPr>
        <w:noProof/>
      </w:rPr>
      <w:t>1</w:t>
    </w:r>
    <w:r w:rsidRPr="00070AB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99ED23" w14:textId="77777777" w:rsidR="00B838DA" w:rsidRDefault="00B838DA" w:rsidP="008D0B9B">
      <w:r>
        <w:separator/>
      </w:r>
    </w:p>
  </w:footnote>
  <w:footnote w:type="continuationSeparator" w:id="0">
    <w:p w14:paraId="734C786B" w14:textId="77777777" w:rsidR="00B838DA" w:rsidRDefault="00B838DA" w:rsidP="008D0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1C1CBC" w14:textId="2BB19457" w:rsidR="00C13A0E" w:rsidRPr="0015703B" w:rsidRDefault="00C82FB6" w:rsidP="00070ABA">
    <w:pPr>
      <w:pStyle w:val="Header"/>
      <w:pBdr>
        <w:bottom w:val="single" w:sz="4" w:space="1" w:color="auto"/>
      </w:pBdr>
      <w:spacing w:after="0"/>
      <w:rPr>
        <w:rFonts w:ascii="Arial" w:hAnsi="Arial"/>
        <w:i/>
        <w:color w:val="7F7F7F" w:themeColor="text1" w:themeTint="80"/>
        <w:sz w:val="20"/>
        <w:szCs w:val="20"/>
      </w:rPr>
    </w:pPr>
    <w:r>
      <w:rPr>
        <w:rFonts w:ascii="Arial" w:hAnsi="Arial"/>
        <w:i/>
        <w:noProof/>
        <w:color w:val="7F7F7F" w:themeColor="text1" w:themeTint="80"/>
        <w:sz w:val="20"/>
        <w:szCs w:val="20"/>
      </w:rPr>
      <w:drawing>
        <wp:anchor distT="0" distB="0" distL="0" distR="0" simplePos="0" relativeHeight="251658240" behindDoc="0" locked="0" layoutInCell="1" allowOverlap="1" wp14:anchorId="4ECA199A" wp14:editId="6D3EE6BA">
          <wp:simplePos x="0" y="0"/>
          <wp:positionH relativeFrom="column">
            <wp:posOffset>4627880</wp:posOffset>
          </wp:positionH>
          <wp:positionV relativeFrom="paragraph">
            <wp:posOffset>-272887</wp:posOffset>
          </wp:positionV>
          <wp:extent cx="1344168" cy="384048"/>
          <wp:effectExtent l="0" t="0" r="2540" b="0"/>
          <wp:wrapNone/>
          <wp:docPr id="170069302" name="Picture 3" descr="National Science Foundation National Geophysical Faci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9302" name="Picture 3" descr="National Science Foundation National Geophysical Facility logo."/>
                  <pic:cNvPicPr/>
                </pic:nvPicPr>
                <pic:blipFill>
                  <a:blip r:embed="rId1"/>
                  <a:stretch>
                    <a:fillRect/>
                  </a:stretch>
                </pic:blipFill>
                <pic:spPr>
                  <a:xfrm>
                    <a:off x="0" y="0"/>
                    <a:ext cx="1344168" cy="384048"/>
                  </a:xfrm>
                  <a:prstGeom prst="rect">
                    <a:avLst/>
                  </a:prstGeom>
                </pic:spPr>
              </pic:pic>
            </a:graphicData>
          </a:graphic>
          <wp14:sizeRelH relativeFrom="page">
            <wp14:pctWidth>0</wp14:pctWidth>
          </wp14:sizeRelH>
          <wp14:sizeRelV relativeFrom="page">
            <wp14:pctHeight>0</wp14:pctHeight>
          </wp14:sizeRelV>
        </wp:anchor>
      </w:drawing>
    </w:r>
    <w:r w:rsidR="007016CC">
      <w:rPr>
        <w:rFonts w:ascii="Arial" w:hAnsi="Arial"/>
        <w:i/>
        <w:sz w:val="20"/>
        <w:szCs w:val="20"/>
      </w:rPr>
      <w:t xml:space="preserve">Unit </w:t>
    </w:r>
    <w:r w:rsidR="00C4224F">
      <w:rPr>
        <w:rFonts w:ascii="Arial" w:hAnsi="Arial"/>
        <w:i/>
        <w:sz w:val="20"/>
        <w:szCs w:val="20"/>
      </w:rPr>
      <w:t>3: Geopark Sinkhole Gravity Lab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63B636" w14:textId="5764D93A" w:rsidR="00C13A0E" w:rsidRDefault="00921FEE">
    <w:pPr>
      <w:pStyle w:val="Header"/>
    </w:pPr>
    <w:r>
      <w:rPr>
        <w:noProof/>
      </w:rPr>
      <w:drawing>
        <wp:inline distT="0" distB="0" distL="0" distR="0" wp14:anchorId="52EE7CAE" wp14:editId="41960806">
          <wp:extent cx="5943600" cy="679450"/>
          <wp:effectExtent l="0" t="0" r="0" b="6350"/>
          <wp:docPr id="286660436" name="Picture 3" descr="Document header reading “GETSI, Geophysics Tools for Societal Issues”, with an EarthScope Consortium logo on the righ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60436" name="Picture 3" descr="Document header reading “GETSI, Geophysics Tools for Societal Issues”, with an EarthScope Consortium logo on the right side."/>
                  <pic:cNvPicPr/>
                </pic:nvPicPr>
                <pic:blipFill>
                  <a:blip r:embed="rId1"/>
                  <a:stretch>
                    <a:fillRect/>
                  </a:stretch>
                </pic:blipFill>
                <pic:spPr>
                  <a:xfrm>
                    <a:off x="0" y="0"/>
                    <a:ext cx="5943600" cy="679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24484A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FB5441"/>
    <w:multiLevelType w:val="multilevel"/>
    <w:tmpl w:val="2F3A390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1AFE3A83"/>
    <w:multiLevelType w:val="multilevel"/>
    <w:tmpl w:val="6FA22F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3859E6"/>
    <w:multiLevelType w:val="multilevel"/>
    <w:tmpl w:val="4B4624A8"/>
    <w:lvl w:ilvl="0">
      <w:start w:val="2"/>
      <w:numFmt w:val="decimal"/>
      <w:lvlText w:val="%1"/>
      <w:lvlJc w:val="left"/>
      <w:pPr>
        <w:ind w:left="405" w:hanging="40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4" w15:restartNumberingAfterBreak="0">
    <w:nsid w:val="2DB23D3F"/>
    <w:multiLevelType w:val="multilevel"/>
    <w:tmpl w:val="D944B3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26490C"/>
    <w:multiLevelType w:val="multilevel"/>
    <w:tmpl w:val="2F0C258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3F4051"/>
    <w:multiLevelType w:val="hybridMultilevel"/>
    <w:tmpl w:val="DD56B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712C57"/>
    <w:multiLevelType w:val="multilevel"/>
    <w:tmpl w:val="6FA22F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734359C"/>
    <w:multiLevelType w:val="multilevel"/>
    <w:tmpl w:val="AA1677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BB373BA"/>
    <w:multiLevelType w:val="multilevel"/>
    <w:tmpl w:val="6FA22F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77630D2"/>
    <w:multiLevelType w:val="multilevel"/>
    <w:tmpl w:val="5622D8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F1D5E0E"/>
    <w:multiLevelType w:val="multilevel"/>
    <w:tmpl w:val="0128B40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3070985">
    <w:abstractNumId w:val="0"/>
  </w:num>
  <w:num w:numId="2" w16cid:durableId="286745715">
    <w:abstractNumId w:val="6"/>
  </w:num>
  <w:num w:numId="3" w16cid:durableId="926966556">
    <w:abstractNumId w:val="7"/>
  </w:num>
  <w:num w:numId="4" w16cid:durableId="1776703781">
    <w:abstractNumId w:val="2"/>
  </w:num>
  <w:num w:numId="5" w16cid:durableId="1737360301">
    <w:abstractNumId w:val="9"/>
  </w:num>
  <w:num w:numId="6" w16cid:durableId="1355307855">
    <w:abstractNumId w:val="3"/>
  </w:num>
  <w:num w:numId="7" w16cid:durableId="411240037">
    <w:abstractNumId w:val="5"/>
  </w:num>
  <w:num w:numId="8" w16cid:durableId="806895591">
    <w:abstractNumId w:val="10"/>
  </w:num>
  <w:num w:numId="9" w16cid:durableId="1952080776">
    <w:abstractNumId w:val="1"/>
  </w:num>
  <w:num w:numId="10" w16cid:durableId="1747916694">
    <w:abstractNumId w:val="4"/>
  </w:num>
  <w:num w:numId="11" w16cid:durableId="1941719782">
    <w:abstractNumId w:val="11"/>
  </w:num>
  <w:num w:numId="12" w16cid:durableId="1646817952">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54"/>
    <w:rsid w:val="00014336"/>
    <w:rsid w:val="00027896"/>
    <w:rsid w:val="000700CD"/>
    <w:rsid w:val="00070ABA"/>
    <w:rsid w:val="00105B8D"/>
    <w:rsid w:val="00112978"/>
    <w:rsid w:val="00134974"/>
    <w:rsid w:val="00142D1E"/>
    <w:rsid w:val="0015703B"/>
    <w:rsid w:val="00166581"/>
    <w:rsid w:val="001748DB"/>
    <w:rsid w:val="001906C9"/>
    <w:rsid w:val="0019721E"/>
    <w:rsid w:val="001B4DCE"/>
    <w:rsid w:val="001E6927"/>
    <w:rsid w:val="00222B89"/>
    <w:rsid w:val="0024069B"/>
    <w:rsid w:val="00241FD8"/>
    <w:rsid w:val="00250333"/>
    <w:rsid w:val="00253AED"/>
    <w:rsid w:val="002665E2"/>
    <w:rsid w:val="00266649"/>
    <w:rsid w:val="002734AF"/>
    <w:rsid w:val="00276BB4"/>
    <w:rsid w:val="002A4501"/>
    <w:rsid w:val="002B1E80"/>
    <w:rsid w:val="002F507E"/>
    <w:rsid w:val="00340BD6"/>
    <w:rsid w:val="003439E4"/>
    <w:rsid w:val="003620E9"/>
    <w:rsid w:val="00372CBD"/>
    <w:rsid w:val="003947D1"/>
    <w:rsid w:val="003B453A"/>
    <w:rsid w:val="003C241F"/>
    <w:rsid w:val="003E1136"/>
    <w:rsid w:val="003F3A76"/>
    <w:rsid w:val="003F6B46"/>
    <w:rsid w:val="004049DD"/>
    <w:rsid w:val="0041400D"/>
    <w:rsid w:val="00425454"/>
    <w:rsid w:val="004720F0"/>
    <w:rsid w:val="0048286F"/>
    <w:rsid w:val="00482EA3"/>
    <w:rsid w:val="00487C72"/>
    <w:rsid w:val="004911E5"/>
    <w:rsid w:val="004A1346"/>
    <w:rsid w:val="004E2ED5"/>
    <w:rsid w:val="005114C1"/>
    <w:rsid w:val="00523576"/>
    <w:rsid w:val="0054669F"/>
    <w:rsid w:val="005544A5"/>
    <w:rsid w:val="00556BAE"/>
    <w:rsid w:val="005575C5"/>
    <w:rsid w:val="00584DFA"/>
    <w:rsid w:val="005870CC"/>
    <w:rsid w:val="00591EF4"/>
    <w:rsid w:val="005B28D7"/>
    <w:rsid w:val="005D7F3B"/>
    <w:rsid w:val="005E5FA8"/>
    <w:rsid w:val="005F0E50"/>
    <w:rsid w:val="00630474"/>
    <w:rsid w:val="006632E3"/>
    <w:rsid w:val="006B3910"/>
    <w:rsid w:val="006C674F"/>
    <w:rsid w:val="006D1436"/>
    <w:rsid w:val="006D28B2"/>
    <w:rsid w:val="006D4861"/>
    <w:rsid w:val="006D661E"/>
    <w:rsid w:val="006E16DC"/>
    <w:rsid w:val="006F5B55"/>
    <w:rsid w:val="006F6FD4"/>
    <w:rsid w:val="007016CC"/>
    <w:rsid w:val="00714852"/>
    <w:rsid w:val="00720DC6"/>
    <w:rsid w:val="00732314"/>
    <w:rsid w:val="007705CA"/>
    <w:rsid w:val="00794968"/>
    <w:rsid w:val="007A5481"/>
    <w:rsid w:val="007D2785"/>
    <w:rsid w:val="007D6EF1"/>
    <w:rsid w:val="0080428E"/>
    <w:rsid w:val="00822DF7"/>
    <w:rsid w:val="00832E40"/>
    <w:rsid w:val="0084315F"/>
    <w:rsid w:val="0086334F"/>
    <w:rsid w:val="008847C1"/>
    <w:rsid w:val="008945A5"/>
    <w:rsid w:val="008D0B9B"/>
    <w:rsid w:val="008F6116"/>
    <w:rsid w:val="008F7011"/>
    <w:rsid w:val="0091559F"/>
    <w:rsid w:val="00921FEE"/>
    <w:rsid w:val="0092653B"/>
    <w:rsid w:val="00965F8C"/>
    <w:rsid w:val="009A6198"/>
    <w:rsid w:val="009B7A8D"/>
    <w:rsid w:val="009C0FCD"/>
    <w:rsid w:val="009E437A"/>
    <w:rsid w:val="009F14B9"/>
    <w:rsid w:val="00A1122F"/>
    <w:rsid w:val="00A13144"/>
    <w:rsid w:val="00A1626C"/>
    <w:rsid w:val="00A25E6D"/>
    <w:rsid w:val="00A35125"/>
    <w:rsid w:val="00A43310"/>
    <w:rsid w:val="00A45D7F"/>
    <w:rsid w:val="00A507E5"/>
    <w:rsid w:val="00A64993"/>
    <w:rsid w:val="00A66B8D"/>
    <w:rsid w:val="00AA266E"/>
    <w:rsid w:val="00AA46F5"/>
    <w:rsid w:val="00AC2E78"/>
    <w:rsid w:val="00AC56E7"/>
    <w:rsid w:val="00AD4699"/>
    <w:rsid w:val="00AD5AE6"/>
    <w:rsid w:val="00AE0B81"/>
    <w:rsid w:val="00AF1728"/>
    <w:rsid w:val="00B417FC"/>
    <w:rsid w:val="00B5468C"/>
    <w:rsid w:val="00B838DA"/>
    <w:rsid w:val="00B84C8B"/>
    <w:rsid w:val="00B93517"/>
    <w:rsid w:val="00BC0D04"/>
    <w:rsid w:val="00C00F8C"/>
    <w:rsid w:val="00C1198A"/>
    <w:rsid w:val="00C13A0E"/>
    <w:rsid w:val="00C1425E"/>
    <w:rsid w:val="00C166E0"/>
    <w:rsid w:val="00C4224F"/>
    <w:rsid w:val="00C441A4"/>
    <w:rsid w:val="00C63146"/>
    <w:rsid w:val="00C76B27"/>
    <w:rsid w:val="00C82FB6"/>
    <w:rsid w:val="00C9384C"/>
    <w:rsid w:val="00CE5C0A"/>
    <w:rsid w:val="00CF3C06"/>
    <w:rsid w:val="00CF6C62"/>
    <w:rsid w:val="00D01A1A"/>
    <w:rsid w:val="00D217D0"/>
    <w:rsid w:val="00D31244"/>
    <w:rsid w:val="00D7206E"/>
    <w:rsid w:val="00DA305D"/>
    <w:rsid w:val="00DB700F"/>
    <w:rsid w:val="00DE5005"/>
    <w:rsid w:val="00DF411A"/>
    <w:rsid w:val="00DF4166"/>
    <w:rsid w:val="00E14496"/>
    <w:rsid w:val="00E218F9"/>
    <w:rsid w:val="00E27410"/>
    <w:rsid w:val="00E900F5"/>
    <w:rsid w:val="00EB1267"/>
    <w:rsid w:val="00EC7EF0"/>
    <w:rsid w:val="00ED214C"/>
    <w:rsid w:val="00ED3DE1"/>
    <w:rsid w:val="00F340A9"/>
    <w:rsid w:val="00F37159"/>
    <w:rsid w:val="00F414F8"/>
    <w:rsid w:val="00F445CB"/>
    <w:rsid w:val="00F56EED"/>
    <w:rsid w:val="00FA00A8"/>
    <w:rsid w:val="00FB17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8019AC"/>
  <w14:defaultImageDpi w14:val="300"/>
  <w15:docId w15:val="{52774367-B554-1C49-B9C7-A11FFFFF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9DD"/>
    <w:pPr>
      <w:spacing w:after="120"/>
    </w:pPr>
    <w:rPr>
      <w:rFonts w:ascii="Times New Roman" w:hAnsi="Times New Roman"/>
      <w:sz w:val="24"/>
      <w:szCs w:val="24"/>
    </w:rPr>
  </w:style>
  <w:style w:type="paragraph" w:styleId="Heading1">
    <w:name w:val="heading 1"/>
    <w:basedOn w:val="Normal"/>
    <w:next w:val="Normal"/>
    <w:link w:val="Heading1Char"/>
    <w:uiPriority w:val="9"/>
    <w:qFormat/>
    <w:rsid w:val="003F6B46"/>
    <w:pPr>
      <w:keepNext/>
      <w:keepLines/>
      <w:spacing w:before="240"/>
      <w:outlineLvl w:val="0"/>
    </w:pPr>
    <w:rPr>
      <w:rFonts w:ascii="Arial" w:eastAsiaTheme="majorEastAsia" w:hAnsi="Arial" w:cstheme="majorBidi"/>
      <w:b/>
      <w:bCs/>
      <w:szCs w:val="28"/>
    </w:rPr>
  </w:style>
  <w:style w:type="paragraph" w:styleId="Heading2">
    <w:name w:val="heading 2"/>
    <w:basedOn w:val="Normal"/>
    <w:next w:val="Normal"/>
    <w:link w:val="Heading2Char"/>
    <w:uiPriority w:val="9"/>
    <w:unhideWhenUsed/>
    <w:qFormat/>
    <w:rsid w:val="004049DD"/>
    <w:pPr>
      <w:keepNext/>
      <w:keepLines/>
      <w:outlineLvl w:val="1"/>
    </w:pPr>
    <w:rPr>
      <w:rFonts w:ascii="Arial" w:eastAsiaTheme="majorEastAsia" w:hAnsi="Arial" w:cstheme="majorBidi"/>
      <w:bCs/>
      <w:i/>
      <w:sz w:val="22"/>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6198"/>
    <w:rPr>
      <w:rFonts w:ascii="Lucida Grande" w:hAnsi="Lucida Grande" w:cs="Lucida Grande"/>
      <w:sz w:val="18"/>
      <w:szCs w:val="18"/>
    </w:rPr>
  </w:style>
  <w:style w:type="character" w:customStyle="1" w:styleId="BalloonTextChar">
    <w:name w:val="Balloon Text Char"/>
    <w:link w:val="BalloonText"/>
    <w:uiPriority w:val="99"/>
    <w:semiHidden/>
    <w:rsid w:val="009A6198"/>
    <w:rPr>
      <w:rFonts w:ascii="Lucida Grande" w:hAnsi="Lucida Grande" w:cs="Lucida Grande"/>
      <w:sz w:val="18"/>
      <w:szCs w:val="18"/>
    </w:rPr>
  </w:style>
  <w:style w:type="paragraph" w:styleId="Header">
    <w:name w:val="header"/>
    <w:basedOn w:val="Normal"/>
    <w:link w:val="HeaderChar"/>
    <w:uiPriority w:val="99"/>
    <w:unhideWhenUsed/>
    <w:rsid w:val="008D0B9B"/>
    <w:pPr>
      <w:tabs>
        <w:tab w:val="center" w:pos="4320"/>
        <w:tab w:val="right" w:pos="8640"/>
      </w:tabs>
    </w:pPr>
  </w:style>
  <w:style w:type="character" w:customStyle="1" w:styleId="HeaderChar">
    <w:name w:val="Header Char"/>
    <w:link w:val="Header"/>
    <w:uiPriority w:val="99"/>
    <w:rsid w:val="008D0B9B"/>
    <w:rPr>
      <w:sz w:val="24"/>
      <w:szCs w:val="24"/>
    </w:rPr>
  </w:style>
  <w:style w:type="paragraph" w:styleId="Footer">
    <w:name w:val="footer"/>
    <w:basedOn w:val="Normal"/>
    <w:link w:val="FooterChar"/>
    <w:uiPriority w:val="99"/>
    <w:unhideWhenUsed/>
    <w:rsid w:val="008D0B9B"/>
    <w:pPr>
      <w:tabs>
        <w:tab w:val="center" w:pos="4320"/>
        <w:tab w:val="right" w:pos="8640"/>
      </w:tabs>
    </w:pPr>
  </w:style>
  <w:style w:type="character" w:customStyle="1" w:styleId="FooterChar">
    <w:name w:val="Footer Char"/>
    <w:link w:val="Footer"/>
    <w:uiPriority w:val="99"/>
    <w:rsid w:val="008D0B9B"/>
    <w:rPr>
      <w:sz w:val="24"/>
      <w:szCs w:val="24"/>
    </w:rPr>
  </w:style>
  <w:style w:type="character" w:styleId="PageNumber">
    <w:name w:val="page number"/>
    <w:uiPriority w:val="99"/>
    <w:semiHidden/>
    <w:unhideWhenUsed/>
    <w:rsid w:val="00222B89"/>
  </w:style>
  <w:style w:type="character" w:styleId="CommentReference">
    <w:name w:val="annotation reference"/>
    <w:uiPriority w:val="99"/>
    <w:semiHidden/>
    <w:unhideWhenUsed/>
    <w:rsid w:val="004911E5"/>
    <w:rPr>
      <w:sz w:val="16"/>
      <w:szCs w:val="16"/>
    </w:rPr>
  </w:style>
  <w:style w:type="paragraph" w:styleId="CommentText">
    <w:name w:val="annotation text"/>
    <w:basedOn w:val="Normal"/>
    <w:link w:val="CommentTextChar"/>
    <w:uiPriority w:val="99"/>
    <w:semiHidden/>
    <w:unhideWhenUsed/>
    <w:rsid w:val="004911E5"/>
    <w:rPr>
      <w:sz w:val="20"/>
      <w:szCs w:val="20"/>
    </w:rPr>
  </w:style>
  <w:style w:type="character" w:customStyle="1" w:styleId="CommentTextChar">
    <w:name w:val="Comment Text Char"/>
    <w:basedOn w:val="DefaultParagraphFont"/>
    <w:link w:val="CommentText"/>
    <w:uiPriority w:val="99"/>
    <w:semiHidden/>
    <w:rsid w:val="004911E5"/>
  </w:style>
  <w:style w:type="paragraph" w:styleId="CommentSubject">
    <w:name w:val="annotation subject"/>
    <w:basedOn w:val="CommentText"/>
    <w:next w:val="CommentText"/>
    <w:link w:val="CommentSubjectChar"/>
    <w:uiPriority w:val="99"/>
    <w:semiHidden/>
    <w:unhideWhenUsed/>
    <w:rsid w:val="004911E5"/>
    <w:rPr>
      <w:b/>
      <w:bCs/>
    </w:rPr>
  </w:style>
  <w:style w:type="character" w:customStyle="1" w:styleId="CommentSubjectChar">
    <w:name w:val="Comment Subject Char"/>
    <w:link w:val="CommentSubject"/>
    <w:uiPriority w:val="99"/>
    <w:semiHidden/>
    <w:rsid w:val="004911E5"/>
    <w:rPr>
      <w:b/>
      <w:bCs/>
    </w:rPr>
  </w:style>
  <w:style w:type="character" w:styleId="Hyperlink">
    <w:name w:val="Hyperlink"/>
    <w:uiPriority w:val="99"/>
    <w:unhideWhenUsed/>
    <w:rsid w:val="0080428E"/>
    <w:rPr>
      <w:color w:val="0000FF"/>
      <w:u w:val="single"/>
    </w:rPr>
  </w:style>
  <w:style w:type="paragraph" w:customStyle="1" w:styleId="ColorfulShading-Accent11">
    <w:name w:val="Colorful Shading - Accent 11"/>
    <w:hidden/>
    <w:uiPriority w:val="71"/>
    <w:rsid w:val="00C441A4"/>
    <w:rPr>
      <w:sz w:val="24"/>
      <w:szCs w:val="24"/>
    </w:rPr>
  </w:style>
  <w:style w:type="paragraph" w:styleId="Title">
    <w:name w:val="Title"/>
    <w:basedOn w:val="Normal"/>
    <w:next w:val="Normal"/>
    <w:link w:val="TitleChar"/>
    <w:uiPriority w:val="10"/>
    <w:qFormat/>
    <w:rsid w:val="008945A5"/>
    <w:pPr>
      <w:pBdr>
        <w:bottom w:val="single" w:sz="8" w:space="1" w:color="7F7F7F" w:themeColor="text1" w:themeTint="80"/>
      </w:pBdr>
      <w:spacing w:after="60"/>
      <w:contextualSpacing/>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uiPriority w:val="10"/>
    <w:rsid w:val="008945A5"/>
    <w:rPr>
      <w:rFonts w:ascii="Arial" w:eastAsiaTheme="majorEastAsia" w:hAnsi="Arial" w:cstheme="majorBidi"/>
      <w:b/>
      <w:spacing w:val="5"/>
      <w:kern w:val="28"/>
      <w:sz w:val="28"/>
      <w:szCs w:val="52"/>
    </w:rPr>
  </w:style>
  <w:style w:type="paragraph" w:customStyle="1" w:styleId="Authortext">
    <w:name w:val="Author text"/>
    <w:basedOn w:val="Normal"/>
    <w:link w:val="AuthortextChar"/>
    <w:qFormat/>
    <w:rsid w:val="008945A5"/>
    <w:pPr>
      <w:spacing w:after="240"/>
    </w:pPr>
    <w:rPr>
      <w:rFonts w:ascii="Arial" w:hAnsi="Arial" w:cs="Arial"/>
      <w:sz w:val="18"/>
      <w:szCs w:val="18"/>
    </w:rPr>
  </w:style>
  <w:style w:type="character" w:customStyle="1" w:styleId="Heading1Char">
    <w:name w:val="Heading 1 Char"/>
    <w:basedOn w:val="DefaultParagraphFont"/>
    <w:link w:val="Heading1"/>
    <w:uiPriority w:val="9"/>
    <w:rsid w:val="003F6B46"/>
    <w:rPr>
      <w:rFonts w:ascii="Arial" w:eastAsiaTheme="majorEastAsia" w:hAnsi="Arial" w:cstheme="majorBidi"/>
      <w:b/>
      <w:bCs/>
      <w:sz w:val="24"/>
      <w:szCs w:val="28"/>
    </w:rPr>
  </w:style>
  <w:style w:type="character" w:customStyle="1" w:styleId="AuthortextChar">
    <w:name w:val="Author text Char"/>
    <w:basedOn w:val="DefaultParagraphFont"/>
    <w:link w:val="Authortext"/>
    <w:rsid w:val="008945A5"/>
    <w:rPr>
      <w:rFonts w:ascii="Arial" w:hAnsi="Arial" w:cs="Arial"/>
      <w:sz w:val="18"/>
      <w:szCs w:val="18"/>
    </w:rPr>
  </w:style>
  <w:style w:type="character" w:customStyle="1" w:styleId="Heading2Char">
    <w:name w:val="Heading 2 Char"/>
    <w:basedOn w:val="DefaultParagraphFont"/>
    <w:link w:val="Heading2"/>
    <w:uiPriority w:val="9"/>
    <w:rsid w:val="004049DD"/>
    <w:rPr>
      <w:rFonts w:ascii="Arial" w:eastAsiaTheme="majorEastAsia" w:hAnsi="Arial" w:cstheme="majorBidi"/>
      <w:bCs/>
      <w:i/>
      <w:sz w:val="22"/>
      <w:szCs w:val="26"/>
      <w:u w:val="single"/>
    </w:rPr>
  </w:style>
  <w:style w:type="paragraph" w:customStyle="1" w:styleId="Captiontext">
    <w:name w:val="Caption text"/>
    <w:basedOn w:val="Normal"/>
    <w:link w:val="CaptiontextChar"/>
    <w:qFormat/>
    <w:rsid w:val="00965F8C"/>
    <w:pPr>
      <w:spacing w:after="0"/>
    </w:pPr>
    <w:rPr>
      <w:rFonts w:ascii="Arial" w:hAnsi="Arial" w:cs="Arial"/>
      <w:sz w:val="20"/>
      <w:szCs w:val="20"/>
    </w:rPr>
  </w:style>
  <w:style w:type="paragraph" w:customStyle="1" w:styleId="footertext">
    <w:name w:val="footer text"/>
    <w:basedOn w:val="Footer"/>
    <w:link w:val="footertextChar"/>
    <w:qFormat/>
    <w:rsid w:val="00276BB4"/>
    <w:pPr>
      <w:pBdr>
        <w:top w:val="single" w:sz="4" w:space="1" w:color="auto"/>
      </w:pBdr>
      <w:tabs>
        <w:tab w:val="clear" w:pos="4320"/>
        <w:tab w:val="clear" w:pos="8640"/>
        <w:tab w:val="right" w:pos="9090"/>
      </w:tabs>
      <w:spacing w:after="0" w:line="360" w:lineRule="exact"/>
    </w:pPr>
    <w:rPr>
      <w:rFonts w:ascii="Arial" w:hAnsi="Arial"/>
      <w:i/>
      <w:sz w:val="18"/>
      <w:szCs w:val="20"/>
    </w:rPr>
  </w:style>
  <w:style w:type="character" w:customStyle="1" w:styleId="CaptiontextChar">
    <w:name w:val="Caption text Char"/>
    <w:basedOn w:val="DefaultParagraphFont"/>
    <w:link w:val="Captiontext"/>
    <w:rsid w:val="00965F8C"/>
    <w:rPr>
      <w:rFonts w:ascii="Arial" w:hAnsi="Arial" w:cs="Arial"/>
    </w:rPr>
  </w:style>
  <w:style w:type="character" w:customStyle="1" w:styleId="footertextChar">
    <w:name w:val="footer text Char"/>
    <w:basedOn w:val="FooterChar"/>
    <w:link w:val="footertext"/>
    <w:rsid w:val="00276BB4"/>
    <w:rPr>
      <w:rFonts w:ascii="Arial" w:hAnsi="Arial"/>
      <w:i/>
      <w:sz w:val="18"/>
      <w:szCs w:val="24"/>
    </w:rPr>
  </w:style>
  <w:style w:type="paragraph" w:styleId="ListParagraph">
    <w:name w:val="List Paragraph"/>
    <w:basedOn w:val="Normal"/>
    <w:uiPriority w:val="72"/>
    <w:qFormat/>
    <w:rsid w:val="00B93517"/>
    <w:pPr>
      <w:ind w:left="720"/>
      <w:contextualSpacing/>
    </w:pPr>
  </w:style>
  <w:style w:type="paragraph" w:styleId="Caption">
    <w:name w:val="caption"/>
    <w:basedOn w:val="Normal"/>
    <w:next w:val="Normal"/>
    <w:uiPriority w:val="35"/>
    <w:unhideWhenUsed/>
    <w:qFormat/>
    <w:rsid w:val="00B93517"/>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prattsitaula:Documents:BethFiles:GETSI:logos-branding:GETSI%20docx%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FA071-B469-B542-AB14-6313899C6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Macintosh%20HD:Users:prattsitaula:Documents:BethFiles:GETSI:logos-branding:GETSI%20docx%20template.dotx</Template>
  <TotalTime>50</TotalTime>
  <Pages>4</Pages>
  <Words>1532</Words>
  <Characters>7818</Characters>
  <Application>Microsoft Office Word</Application>
  <DocSecurity>0</DocSecurity>
  <Lines>144</Lines>
  <Paragraphs>54</Paragraphs>
  <ScaleCrop>false</ScaleCrop>
  <HeadingPairs>
    <vt:vector size="2" baseType="variant">
      <vt:variant>
        <vt:lpstr>Title</vt:lpstr>
      </vt:variant>
      <vt:variant>
        <vt:i4>1</vt:i4>
      </vt:variant>
    </vt:vector>
  </HeadingPairs>
  <TitlesOfParts>
    <vt:vector size="1" baseType="lpstr">
      <vt:lpstr/>
    </vt:vector>
  </TitlesOfParts>
  <Company>Baylor University</Company>
  <LinksUpToDate>false</LinksUpToDate>
  <CharactersWithSpaces>9296</CharactersWithSpaces>
  <SharedDoc>false</SharedDoc>
  <HLinks>
    <vt:vector size="108" baseType="variant">
      <vt:variant>
        <vt:i4>1245211</vt:i4>
      </vt:variant>
      <vt:variant>
        <vt:i4>57</vt:i4>
      </vt:variant>
      <vt:variant>
        <vt:i4>0</vt:i4>
      </vt:variant>
      <vt:variant>
        <vt:i4>5</vt:i4>
      </vt:variant>
      <vt:variant>
        <vt:lpwstr>http://facility.unavco.org/data/dai2/app/dai2.html%23</vt:lpwstr>
      </vt:variant>
      <vt:variant>
        <vt:lpwstr/>
      </vt:variant>
      <vt:variant>
        <vt:i4>3080239</vt:i4>
      </vt:variant>
      <vt:variant>
        <vt:i4>54</vt:i4>
      </vt:variant>
      <vt:variant>
        <vt:i4>0</vt:i4>
      </vt:variant>
      <vt:variant>
        <vt:i4>5</vt:i4>
      </vt:variant>
      <vt:variant>
        <vt:lpwstr>http://www.unavco.org/</vt:lpwstr>
      </vt:variant>
      <vt:variant>
        <vt:lpwstr/>
      </vt:variant>
      <vt:variant>
        <vt:i4>5046294</vt:i4>
      </vt:variant>
      <vt:variant>
        <vt:i4>51</vt:i4>
      </vt:variant>
      <vt:variant>
        <vt:i4>0</vt:i4>
      </vt:variant>
      <vt:variant>
        <vt:i4>5</vt:i4>
      </vt:variant>
      <vt:variant>
        <vt:lpwstr>http://www.uwgb.edu/dutchs/usefuldata/utmformulas.htm</vt:lpwstr>
      </vt:variant>
      <vt:variant>
        <vt:lpwstr/>
      </vt:variant>
      <vt:variant>
        <vt:i4>655437</vt:i4>
      </vt:variant>
      <vt:variant>
        <vt:i4>48</vt:i4>
      </vt:variant>
      <vt:variant>
        <vt:i4>0</vt:i4>
      </vt:variant>
      <vt:variant>
        <vt:i4>5</vt:i4>
      </vt:variant>
      <vt:variant>
        <vt:lpwstr>http://egsc.usgs.gov/isb/pubs/factsheets/fs07701.html</vt:lpwstr>
      </vt:variant>
      <vt:variant>
        <vt:lpwstr/>
      </vt:variant>
      <vt:variant>
        <vt:i4>1769543</vt:i4>
      </vt:variant>
      <vt:variant>
        <vt:i4>45</vt:i4>
      </vt:variant>
      <vt:variant>
        <vt:i4>0</vt:i4>
      </vt:variant>
      <vt:variant>
        <vt:i4>5</vt:i4>
      </vt:variant>
      <vt:variant>
        <vt:lpwstr>http://en.wikipedia.org/wiki/Universal_Transverse_Mercator_coordinate_system</vt:lpwstr>
      </vt:variant>
      <vt:variant>
        <vt:lpwstr/>
      </vt:variant>
      <vt:variant>
        <vt:i4>1966156</vt:i4>
      </vt:variant>
      <vt:variant>
        <vt:i4>42</vt:i4>
      </vt:variant>
      <vt:variant>
        <vt:i4>0</vt:i4>
      </vt:variant>
      <vt:variant>
        <vt:i4>5</vt:i4>
      </vt:variant>
      <vt:variant>
        <vt:lpwstr>http://facility.unavco.org/data/maps/GPSVelocityViewer/GPSVelocityViewer-frames.html</vt:lpwstr>
      </vt:variant>
      <vt:variant>
        <vt:lpwstr/>
      </vt:variant>
      <vt:variant>
        <vt:i4>6422654</vt:i4>
      </vt:variant>
      <vt:variant>
        <vt:i4>39</vt:i4>
      </vt:variant>
      <vt:variant>
        <vt:i4>0</vt:i4>
      </vt:variant>
      <vt:variant>
        <vt:i4>5</vt:i4>
      </vt:variant>
      <vt:variant>
        <vt:lpwstr>http://www.unavco.org/community_science/workinggroups_projects/snarf/snarf.html</vt:lpwstr>
      </vt:variant>
      <vt:variant>
        <vt:lpwstr/>
      </vt:variant>
      <vt:variant>
        <vt:i4>3145786</vt:i4>
      </vt:variant>
      <vt:variant>
        <vt:i4>36</vt:i4>
      </vt:variant>
      <vt:variant>
        <vt:i4>0</vt:i4>
      </vt:variant>
      <vt:variant>
        <vt:i4>5</vt:i4>
      </vt:variant>
      <vt:variant>
        <vt:lpwstr>http://pbo.unavco.org/</vt:lpwstr>
      </vt:variant>
      <vt:variant>
        <vt:lpwstr/>
      </vt:variant>
      <vt:variant>
        <vt:i4>5701716</vt:i4>
      </vt:variant>
      <vt:variant>
        <vt:i4>33</vt:i4>
      </vt:variant>
      <vt:variant>
        <vt:i4>0</vt:i4>
      </vt:variant>
      <vt:variant>
        <vt:i4>5</vt:i4>
      </vt:variant>
      <vt:variant>
        <vt:lpwstr>http://pbo.unavco.org/index.php/station/data/P150</vt:lpwstr>
      </vt:variant>
      <vt:variant>
        <vt:lpwstr/>
      </vt:variant>
      <vt:variant>
        <vt:i4>1966156</vt:i4>
      </vt:variant>
      <vt:variant>
        <vt:i4>24</vt:i4>
      </vt:variant>
      <vt:variant>
        <vt:i4>0</vt:i4>
      </vt:variant>
      <vt:variant>
        <vt:i4>5</vt:i4>
      </vt:variant>
      <vt:variant>
        <vt:lpwstr>http://facility.unavco.org/data/maps/GPSVelocityViewer/GPSVelocityViewer-frames.html</vt:lpwstr>
      </vt:variant>
      <vt:variant>
        <vt:lpwstr/>
      </vt:variant>
      <vt:variant>
        <vt:i4>7274604</vt:i4>
      </vt:variant>
      <vt:variant>
        <vt:i4>21</vt:i4>
      </vt:variant>
      <vt:variant>
        <vt:i4>0</vt:i4>
      </vt:variant>
      <vt:variant>
        <vt:i4>5</vt:i4>
      </vt:variant>
      <vt:variant>
        <vt:lpwstr>http://www.icsm.gov.au/mapping/datums1.html</vt:lpwstr>
      </vt:variant>
      <vt:variant>
        <vt:lpwstr>spheroid</vt:lpwstr>
      </vt:variant>
      <vt:variant>
        <vt:i4>7405676</vt:i4>
      </vt:variant>
      <vt:variant>
        <vt:i4>18</vt:i4>
      </vt:variant>
      <vt:variant>
        <vt:i4>0</vt:i4>
      </vt:variant>
      <vt:variant>
        <vt:i4>5</vt:i4>
      </vt:variant>
      <vt:variant>
        <vt:lpwstr>http://www.icsm.gov.au/mapping/datums1.html</vt:lpwstr>
      </vt:variant>
      <vt:variant>
        <vt:lpwstr/>
      </vt:variant>
      <vt:variant>
        <vt:i4>3539069</vt:i4>
      </vt:variant>
      <vt:variant>
        <vt:i4>15</vt:i4>
      </vt:variant>
      <vt:variant>
        <vt:i4>0</vt:i4>
      </vt:variant>
      <vt:variant>
        <vt:i4>5</vt:i4>
      </vt:variant>
      <vt:variant>
        <vt:lpwstr>http://en.wikipedia.org/wiki/Geographic_coordinate_system</vt:lpwstr>
      </vt:variant>
      <vt:variant>
        <vt:lpwstr/>
      </vt:variant>
      <vt:variant>
        <vt:i4>7667825</vt:i4>
      </vt:variant>
      <vt:variant>
        <vt:i4>12</vt:i4>
      </vt:variant>
      <vt:variant>
        <vt:i4>0</vt:i4>
      </vt:variant>
      <vt:variant>
        <vt:i4>5</vt:i4>
      </vt:variant>
      <vt:variant>
        <vt:lpwstr>http://pbo.unavco.org/station/photos/P150/</vt:lpwstr>
      </vt:variant>
      <vt:variant>
        <vt:lpwstr/>
      </vt:variant>
      <vt:variant>
        <vt:i4>3080232</vt:i4>
      </vt:variant>
      <vt:variant>
        <vt:i4>9</vt:i4>
      </vt:variant>
      <vt:variant>
        <vt:i4>0</vt:i4>
      </vt:variant>
      <vt:variant>
        <vt:i4>5</vt:i4>
      </vt:variant>
      <vt:variant>
        <vt:lpwstr>http://pbo.unavco.org/station/overview/P150</vt:lpwstr>
      </vt:variant>
      <vt:variant>
        <vt:lpwstr/>
      </vt:variant>
      <vt:variant>
        <vt:i4>983107</vt:i4>
      </vt:variant>
      <vt:variant>
        <vt:i4>6</vt:i4>
      </vt:variant>
      <vt:variant>
        <vt:i4>0</vt:i4>
      </vt:variant>
      <vt:variant>
        <vt:i4>5</vt:i4>
      </vt:variant>
      <vt:variant>
        <vt:lpwstr>http://pbo.unavco.org/network/gps</vt:lpwstr>
      </vt:variant>
      <vt:variant>
        <vt:lpwstr/>
      </vt:variant>
      <vt:variant>
        <vt:i4>983107</vt:i4>
      </vt:variant>
      <vt:variant>
        <vt:i4>3</vt:i4>
      </vt:variant>
      <vt:variant>
        <vt:i4>0</vt:i4>
      </vt:variant>
      <vt:variant>
        <vt:i4>5</vt:i4>
      </vt:variant>
      <vt:variant>
        <vt:lpwstr>http://pbo.unavco.org/network/gps</vt:lpwstr>
      </vt:variant>
      <vt:variant>
        <vt:lpwstr/>
      </vt:variant>
      <vt:variant>
        <vt:i4>3145770</vt:i4>
      </vt:variant>
      <vt:variant>
        <vt:i4>0</vt:i4>
      </vt:variant>
      <vt:variant>
        <vt:i4>0</vt:i4>
      </vt:variant>
      <vt:variant>
        <vt:i4>5</vt:i4>
      </vt:variant>
      <vt:variant>
        <vt:lpwstr>http://pbo.unavco.org/data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Pratt-Sitaula</dc:creator>
  <cp:lastModifiedBy>Gabrielle Troia</cp:lastModifiedBy>
  <cp:revision>10</cp:revision>
  <cp:lastPrinted>2012-11-07T23:31:00Z</cp:lastPrinted>
  <dcterms:created xsi:type="dcterms:W3CDTF">2025-05-09T22:06:00Z</dcterms:created>
  <dcterms:modified xsi:type="dcterms:W3CDTF">2026-07-14T13:32:00Z</dcterms:modified>
</cp:coreProperties>
</file>