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75938" w14:textId="2C64F63E" w:rsidR="00221BE5" w:rsidRPr="007A3813" w:rsidRDefault="000070BB" w:rsidP="007A3813">
      <w:pPr>
        <w:pStyle w:val="Title"/>
      </w:pPr>
      <w:r w:rsidRPr="007A3813">
        <w:t>GETSI</w:t>
      </w:r>
      <w:r w:rsidR="00221BE5" w:rsidRPr="007A3813">
        <w:t xml:space="preserve"> Curriculum Development and Refinement</w:t>
      </w:r>
      <w:r w:rsidR="00535581" w:rsidRPr="007A3813">
        <w:t xml:space="preserve"> Rubric </w:t>
      </w:r>
    </w:p>
    <w:p w14:paraId="36E79815" w14:textId="77777777" w:rsidR="00B12DA0" w:rsidRDefault="00B12DA0" w:rsidP="00221BE5"/>
    <w:p w14:paraId="15B6D15E" w14:textId="003F3FA0" w:rsidR="00585B88" w:rsidRPr="00585B88" w:rsidRDefault="00585B88" w:rsidP="00585B88">
      <w:r w:rsidRPr="00585B88">
        <w:t xml:space="preserve">The geophysics modules to be developed as part of this initiative are designed with the goal of attracting and engaging students to try geophysics, and to potentially pursue a geophysics career. To do that these modules aim to engage students in hands-on/minds-on learning of geophysics content and skills that can be directly related to issues of societal relevance that are important to the students. </w:t>
      </w:r>
    </w:p>
    <w:p w14:paraId="4DF6B054" w14:textId="37529232" w:rsidR="00221BE5" w:rsidRDefault="00B12DA0" w:rsidP="00221BE5">
      <w:r w:rsidRPr="00B12DA0">
        <w:t xml:space="preserve"> </w:t>
      </w:r>
    </w:p>
    <w:p w14:paraId="334007FC" w14:textId="4E6CD852" w:rsidR="00C24120" w:rsidRPr="00585B88" w:rsidRDefault="00221BE5" w:rsidP="00585B88">
      <w:r w:rsidRPr="00585B88">
        <w:t xml:space="preserve">This rubric is designed to </w:t>
      </w:r>
      <w:r w:rsidR="003579F1" w:rsidRPr="00585B88">
        <w:t>guide</w:t>
      </w:r>
      <w:r w:rsidRPr="00585B88">
        <w:t xml:space="preserve"> </w:t>
      </w:r>
      <w:r w:rsidR="00936E7A" w:rsidRPr="00585B88">
        <w:t>GETSI</w:t>
      </w:r>
      <w:r w:rsidRPr="00585B88">
        <w:t xml:space="preserve"> curriculum developers as they </w:t>
      </w:r>
      <w:r w:rsidR="003579F1" w:rsidRPr="00585B88">
        <w:t xml:space="preserve">create </w:t>
      </w:r>
      <w:r w:rsidR="00936E7A" w:rsidRPr="00585B88">
        <w:t>modules</w:t>
      </w:r>
      <w:r w:rsidR="00B12DA0" w:rsidRPr="00585B88">
        <w:t xml:space="preserve"> to improve geoscience literacy</w:t>
      </w:r>
      <w:r w:rsidR="00585B88" w:rsidRPr="00585B88">
        <w:t xml:space="preserve"> and </w:t>
      </w:r>
      <w:r w:rsidR="00585B88" w:rsidRPr="00585B88">
        <w:rPr>
          <w:rFonts w:cs="Times New Roman"/>
        </w:rPr>
        <w:t>support student understanding of the applications of geophysics to societally relevant problems or questions.</w:t>
      </w:r>
      <w:r w:rsidRPr="00585B88">
        <w:t xml:space="preserve"> </w:t>
      </w:r>
      <w:r w:rsidR="00D915BE" w:rsidRPr="00585B88">
        <w:t xml:space="preserve">The </w:t>
      </w:r>
      <w:r w:rsidR="000070BB" w:rsidRPr="00585B88">
        <w:t xml:space="preserve">elements are </w:t>
      </w:r>
      <w:r w:rsidR="00D915BE" w:rsidRPr="00585B88">
        <w:t>largely</w:t>
      </w:r>
      <w:r w:rsidR="000070BB" w:rsidRPr="00585B88">
        <w:t xml:space="preserve"> from </w:t>
      </w:r>
      <w:hyperlink r:id="rId7" w:history="1">
        <w:r w:rsidR="000070BB" w:rsidRPr="00585B88">
          <w:rPr>
            <w:rStyle w:val="Hyperlink"/>
          </w:rPr>
          <w:t>InTeGrate rubr</w:t>
        </w:r>
        <w:r w:rsidR="000070BB" w:rsidRPr="00585B88">
          <w:rPr>
            <w:rStyle w:val="Hyperlink"/>
          </w:rPr>
          <w:t>i</w:t>
        </w:r>
        <w:r w:rsidR="000070BB" w:rsidRPr="00585B88">
          <w:rPr>
            <w:rStyle w:val="Hyperlink"/>
          </w:rPr>
          <w:t>c</w:t>
        </w:r>
      </w:hyperlink>
      <w:r w:rsidR="00585B88" w:rsidRPr="00585B88">
        <w:t xml:space="preserve">. </w:t>
      </w:r>
      <w:r w:rsidR="00C24120" w:rsidRPr="00585B88">
        <w:t xml:space="preserve">Some </w:t>
      </w:r>
      <w:r w:rsidR="00341702">
        <w:t xml:space="preserve">modifications </w:t>
      </w:r>
      <w:r w:rsidR="00585B88" w:rsidRPr="00585B88">
        <w:t xml:space="preserve">were </w:t>
      </w:r>
      <w:r w:rsidR="00C24120" w:rsidRPr="00585B88">
        <w:t>incorporated when the GETSI-Geodesy program combined with the IGUaNA Project (</w:t>
      </w:r>
      <w:hyperlink r:id="rId8" w:history="1">
        <w:r w:rsidR="00C24120" w:rsidRPr="00585B88">
          <w:rPr>
            <w:rStyle w:val="Hyperlink"/>
          </w:rPr>
          <w:t>IGUaNA rubric</w:t>
        </w:r>
      </w:hyperlink>
      <w:r w:rsidR="00C24120" w:rsidRPr="00585B88">
        <w:t>).</w:t>
      </w:r>
      <w:r w:rsidR="00585B88" w:rsidRPr="00585B88">
        <w:t xml:space="preserve"> </w:t>
      </w:r>
    </w:p>
    <w:p w14:paraId="3A79B86E" w14:textId="77777777" w:rsidR="00C24120" w:rsidRDefault="00C24120" w:rsidP="00221BE5"/>
    <w:p w14:paraId="5394182F" w14:textId="24522232" w:rsidR="00045459" w:rsidRDefault="00535581" w:rsidP="00221BE5">
      <w:r>
        <w:t>The evaluation scheme is divided into s</w:t>
      </w:r>
      <w:r w:rsidR="00D915BE">
        <w:t>ix</w:t>
      </w:r>
      <w:r>
        <w:t xml:space="preserve"> sub-areas: </w:t>
      </w:r>
    </w:p>
    <w:p w14:paraId="4F9541F0" w14:textId="77777777" w:rsidR="00045459" w:rsidRDefault="00045459" w:rsidP="00045459">
      <w:pPr>
        <w:pStyle w:val="ListParagraph"/>
        <w:numPr>
          <w:ilvl w:val="0"/>
          <w:numId w:val="5"/>
        </w:numPr>
      </w:pPr>
      <w:r>
        <w:t>G</w:t>
      </w:r>
      <w:r w:rsidR="00507DA7">
        <w:t>uiding principles</w:t>
      </w:r>
    </w:p>
    <w:p w14:paraId="56931279" w14:textId="77777777" w:rsidR="00045459" w:rsidRDefault="00045459" w:rsidP="00045459">
      <w:pPr>
        <w:pStyle w:val="ListParagraph"/>
        <w:numPr>
          <w:ilvl w:val="0"/>
          <w:numId w:val="5"/>
        </w:numPr>
      </w:pPr>
      <w:r>
        <w:t>L</w:t>
      </w:r>
      <w:r w:rsidR="00535581">
        <w:t xml:space="preserve">earning objectives and </w:t>
      </w:r>
      <w:r w:rsidR="00FA4294">
        <w:t>goals</w:t>
      </w:r>
    </w:p>
    <w:p w14:paraId="2220C59A" w14:textId="77777777" w:rsidR="00045459" w:rsidRDefault="00045459" w:rsidP="00045459">
      <w:pPr>
        <w:pStyle w:val="ListParagraph"/>
        <w:numPr>
          <w:ilvl w:val="0"/>
          <w:numId w:val="5"/>
        </w:numPr>
      </w:pPr>
      <w:r>
        <w:t>Assessment and measurement</w:t>
      </w:r>
    </w:p>
    <w:p w14:paraId="18751012" w14:textId="77777777" w:rsidR="00045459" w:rsidRDefault="00045459" w:rsidP="00045459">
      <w:pPr>
        <w:pStyle w:val="ListParagraph"/>
        <w:numPr>
          <w:ilvl w:val="0"/>
          <w:numId w:val="5"/>
        </w:numPr>
      </w:pPr>
      <w:r>
        <w:t>R</w:t>
      </w:r>
      <w:r w:rsidR="00535581">
        <w:t>es</w:t>
      </w:r>
      <w:r>
        <w:t>ources and materials</w:t>
      </w:r>
    </w:p>
    <w:p w14:paraId="23B636F5" w14:textId="77777777" w:rsidR="00045459" w:rsidRDefault="00045459" w:rsidP="00045459">
      <w:pPr>
        <w:pStyle w:val="ListParagraph"/>
        <w:numPr>
          <w:ilvl w:val="0"/>
          <w:numId w:val="5"/>
        </w:numPr>
      </w:pPr>
      <w:r>
        <w:t>I</w:t>
      </w:r>
      <w:r w:rsidR="00535581">
        <w:t>nstructional strategies</w:t>
      </w:r>
    </w:p>
    <w:p w14:paraId="2EC18CA4" w14:textId="77777777" w:rsidR="00045459" w:rsidRDefault="00045459" w:rsidP="00045459">
      <w:pPr>
        <w:pStyle w:val="ListParagraph"/>
        <w:numPr>
          <w:ilvl w:val="0"/>
          <w:numId w:val="5"/>
        </w:numPr>
      </w:pPr>
      <w:r>
        <w:t>A</w:t>
      </w:r>
      <w:r w:rsidR="00535581">
        <w:t>lignment</w:t>
      </w:r>
    </w:p>
    <w:p w14:paraId="79385747" w14:textId="77777777" w:rsidR="00045459" w:rsidRDefault="00045459" w:rsidP="00045459">
      <w:pPr>
        <w:pStyle w:val="ListParagraph"/>
      </w:pPr>
    </w:p>
    <w:p w14:paraId="4F316492" w14:textId="695E104C" w:rsidR="003579F1" w:rsidRDefault="00535581" w:rsidP="00221BE5">
      <w:r>
        <w:t>The s</w:t>
      </w:r>
      <w:r w:rsidR="00D915BE">
        <w:t>ix</w:t>
      </w:r>
      <w:r>
        <w:t xml:space="preserve"> sub-areas have a total of </w:t>
      </w:r>
      <w:r w:rsidR="00D915BE">
        <w:t>28</w:t>
      </w:r>
      <w:r>
        <w:t xml:space="preserve"> elements that are equally weighted at 3 po</w:t>
      </w:r>
      <w:r w:rsidR="00A32D22">
        <w:t>ints each and are evaluated using the following scoring scheme:</w:t>
      </w:r>
      <w:r w:rsidR="000636B3">
        <w:t xml:space="preserve"> </w:t>
      </w:r>
    </w:p>
    <w:p w14:paraId="73A1A39B" w14:textId="6701F35C" w:rsidR="000636B3" w:rsidRDefault="000636B3" w:rsidP="000636B3">
      <w:pPr>
        <w:pStyle w:val="ListParagraph"/>
        <w:numPr>
          <w:ilvl w:val="0"/>
          <w:numId w:val="2"/>
        </w:numPr>
      </w:pPr>
      <w:r w:rsidRPr="000636B3">
        <w:rPr>
          <w:b/>
        </w:rPr>
        <w:t>3 points</w:t>
      </w:r>
      <w:r>
        <w:t>: rubric element explicitly and/or pervas</w:t>
      </w:r>
      <w:r w:rsidR="00936E7A">
        <w:t>ively addressed in module</w:t>
      </w:r>
      <w:r>
        <w:t xml:space="preserve"> materials</w:t>
      </w:r>
    </w:p>
    <w:p w14:paraId="1B0E6620" w14:textId="06607874" w:rsidR="000636B3" w:rsidRDefault="000636B3" w:rsidP="000636B3">
      <w:pPr>
        <w:pStyle w:val="ListParagraph"/>
        <w:numPr>
          <w:ilvl w:val="0"/>
          <w:numId w:val="2"/>
        </w:numPr>
      </w:pPr>
      <w:r w:rsidRPr="000636B3">
        <w:rPr>
          <w:b/>
        </w:rPr>
        <w:t>2 points</w:t>
      </w:r>
      <w:r>
        <w:t xml:space="preserve">: rubric element addressed </w:t>
      </w:r>
      <w:r w:rsidR="00936E7A">
        <w:t>in majority of the module</w:t>
      </w:r>
      <w:r>
        <w:t xml:space="preserve"> materials</w:t>
      </w:r>
    </w:p>
    <w:p w14:paraId="127093FF" w14:textId="30A59FA1" w:rsidR="000636B3" w:rsidRDefault="000636B3" w:rsidP="000636B3">
      <w:pPr>
        <w:pStyle w:val="ListParagraph"/>
        <w:numPr>
          <w:ilvl w:val="0"/>
          <w:numId w:val="2"/>
        </w:numPr>
      </w:pPr>
      <w:r w:rsidRPr="000636B3">
        <w:rPr>
          <w:b/>
        </w:rPr>
        <w:t xml:space="preserve">1 </w:t>
      </w:r>
      <w:proofErr w:type="gramStart"/>
      <w:r w:rsidRPr="000636B3">
        <w:rPr>
          <w:b/>
        </w:rPr>
        <w:t>points</w:t>
      </w:r>
      <w:proofErr w:type="gramEnd"/>
      <w:r>
        <w:t>: rubric element addres</w:t>
      </w:r>
      <w:r w:rsidR="00936E7A">
        <w:t>sed in some of the module</w:t>
      </w:r>
      <w:r>
        <w:t xml:space="preserve"> materials</w:t>
      </w:r>
    </w:p>
    <w:p w14:paraId="03EA6439" w14:textId="0C424603" w:rsidR="00221BE5" w:rsidRDefault="000636B3" w:rsidP="000636B3">
      <w:pPr>
        <w:pStyle w:val="ListParagraph"/>
        <w:numPr>
          <w:ilvl w:val="0"/>
          <w:numId w:val="2"/>
        </w:numPr>
      </w:pPr>
      <w:r w:rsidRPr="000636B3">
        <w:rPr>
          <w:b/>
        </w:rPr>
        <w:t>0 points</w:t>
      </w:r>
      <w:r>
        <w:t>: rubric element not a</w:t>
      </w:r>
      <w:r w:rsidR="00936E7A">
        <w:t>ddressed in the module</w:t>
      </w:r>
      <w:r>
        <w:t xml:space="preserve"> materials</w:t>
      </w:r>
    </w:p>
    <w:p w14:paraId="52F4BEF3" w14:textId="77777777" w:rsidR="00A32D22" w:rsidRDefault="00A32D22" w:rsidP="00A32D22"/>
    <w:p w14:paraId="1FBC69EE" w14:textId="3A8EA6DC" w:rsidR="00B12DA0" w:rsidRDefault="00B12DA0" w:rsidP="00A32D22">
      <w:r>
        <w:t xml:space="preserve">A score of 15/15 must be achieved on the </w:t>
      </w:r>
      <w:r w:rsidR="00507DA7">
        <w:rPr>
          <w:sz w:val="22"/>
          <w:szCs w:val="22"/>
        </w:rPr>
        <w:t>guiding principles</w:t>
      </w:r>
      <w:r w:rsidR="00507DA7">
        <w:t xml:space="preserve"> </w:t>
      </w:r>
      <w:r>
        <w:t>portion of</w:t>
      </w:r>
      <w:r w:rsidR="00B32F52">
        <w:t xml:space="preserve"> the rubric. Scores of 8</w:t>
      </w:r>
      <w:r w:rsidR="007B7E42">
        <w:t>3</w:t>
      </w:r>
      <w:r w:rsidR="00B32F52">
        <w:t>% or higher</w:t>
      </w:r>
      <w:r w:rsidR="003579F1">
        <w:t xml:space="preserve"> must be achieved i</w:t>
      </w:r>
      <w:r>
        <w:t xml:space="preserve">n each </w:t>
      </w:r>
      <w:r w:rsidR="003579F1">
        <w:t xml:space="preserve">of the other </w:t>
      </w:r>
      <w:r>
        <w:t>sub-area</w:t>
      </w:r>
      <w:r w:rsidR="003579F1">
        <w:t>s</w:t>
      </w:r>
      <w:r>
        <w:t xml:space="preserve"> of the materials rubric.   </w:t>
      </w:r>
      <w:r w:rsidR="00CD6B4C">
        <w:t>Materials meeting the above criteria will earn a</w:t>
      </w:r>
      <w:r w:rsidR="003579F1">
        <w:t xml:space="preserve"> minimum </w:t>
      </w:r>
      <w:r w:rsidR="00CD6B4C">
        <w:t>score of</w:t>
      </w:r>
      <w:r w:rsidR="00D915BE">
        <w:t xml:space="preserve"> 74</w:t>
      </w:r>
      <w:r w:rsidR="003579F1">
        <w:t>/</w:t>
      </w:r>
      <w:r w:rsidR="00D915BE">
        <w:t>84</w:t>
      </w:r>
      <w:r w:rsidR="003579F1">
        <w:t>.</w:t>
      </w:r>
      <w:r w:rsidR="00CD6B4C">
        <w:t xml:space="preserve"> </w:t>
      </w:r>
    </w:p>
    <w:p w14:paraId="5213963A" w14:textId="77777777" w:rsidR="00221BE5" w:rsidRDefault="00221BE5" w:rsidP="00221BE5">
      <w:r>
        <w:tab/>
      </w:r>
      <w:r>
        <w:tab/>
      </w:r>
      <w:r>
        <w:tab/>
      </w:r>
    </w:p>
    <w:p w14:paraId="25F94635" w14:textId="77777777" w:rsidR="003579F1" w:rsidRDefault="003579F1">
      <w:pPr>
        <w:rPr>
          <w:sz w:val="28"/>
          <w:szCs w:val="28"/>
        </w:rPr>
      </w:pPr>
      <w:r>
        <w:rPr>
          <w:sz w:val="28"/>
          <w:szCs w:val="28"/>
        </w:rPr>
        <w:br w:type="page"/>
      </w:r>
    </w:p>
    <w:p w14:paraId="54771FC3" w14:textId="4BBBCE88" w:rsidR="00221BE5" w:rsidRPr="00041184" w:rsidRDefault="00507DA7" w:rsidP="007A3813">
      <w:pPr>
        <w:pStyle w:val="Heading1"/>
      </w:pPr>
      <w:r w:rsidRPr="007A3813">
        <w:rPr>
          <w:sz w:val="28"/>
          <w:szCs w:val="28"/>
        </w:rPr>
        <w:lastRenderedPageBreak/>
        <w:t>Guiding Principles</w:t>
      </w:r>
      <w:r w:rsidR="00041184" w:rsidRPr="007A3813">
        <w:t xml:space="preserve"> (</w:t>
      </w:r>
      <w:r w:rsidR="003A7459" w:rsidRPr="007A3813">
        <w:t>must score 15/15</w:t>
      </w:r>
      <w:r w:rsidR="00041184" w:rsidRPr="007A3813">
        <w:t>)</w:t>
      </w:r>
      <w:r w:rsidR="00221BE5" w:rsidRPr="007A3813">
        <w:tab/>
      </w:r>
      <w:r w:rsidR="00221BE5" w:rsidRPr="00041184">
        <w:tab/>
      </w:r>
    </w:p>
    <w:p w14:paraId="790A5CDE" w14:textId="77777777" w:rsidR="00221BE5" w:rsidRDefault="00221BE5" w:rsidP="00221BE5"/>
    <w:p w14:paraId="2D796228" w14:textId="166F6A50" w:rsidR="00041184" w:rsidRPr="00CF0162" w:rsidRDefault="00221BE5" w:rsidP="00221BE5">
      <w:r w:rsidRPr="00CF0162">
        <w:t>1</w:t>
      </w:r>
      <w:r w:rsidRPr="00CF0162">
        <w:tab/>
      </w:r>
      <w:r w:rsidR="00936E7A" w:rsidRPr="00CF0162">
        <w:rPr>
          <w:b/>
        </w:rPr>
        <w:t>M</w:t>
      </w:r>
      <w:r w:rsidRPr="00CF0162">
        <w:rPr>
          <w:b/>
        </w:rPr>
        <w:t xml:space="preserve">odule </w:t>
      </w:r>
      <w:r w:rsidR="00FD6517" w:rsidRPr="00CF0162">
        <w:rPr>
          <w:b/>
        </w:rPr>
        <w:t>add</w:t>
      </w:r>
      <w:r w:rsidR="00AD4BE8" w:rsidRPr="00CF0162">
        <w:rPr>
          <w:b/>
        </w:rPr>
        <w:t>resses one or more geoscience</w:t>
      </w:r>
      <w:r w:rsidRPr="00CF0162">
        <w:rPr>
          <w:b/>
        </w:rPr>
        <w:t>-related grand challenges facing society</w:t>
      </w:r>
      <w:r w:rsidRPr="00CF0162">
        <w:t xml:space="preserve">: Grand challenges </w:t>
      </w:r>
      <w:r w:rsidR="00585B88" w:rsidRPr="00CF0162">
        <w:t xml:space="preserve">that can be address with geophysics methods </w:t>
      </w:r>
      <w:r w:rsidRPr="00CF0162">
        <w:t xml:space="preserve">include </w:t>
      </w:r>
      <w:r w:rsidR="00585B88" w:rsidRPr="00CF0162">
        <w:t>(but not limited to)</w:t>
      </w:r>
      <w:r w:rsidR="00585B88" w:rsidRPr="00CF0162">
        <w:t xml:space="preserve"> natural hazard mitigation</w:t>
      </w:r>
      <w:r w:rsidR="00AD4BE8" w:rsidRPr="00CF0162">
        <w:t>, climate change, water resource</w:t>
      </w:r>
      <w:r w:rsidR="00585B88" w:rsidRPr="00CF0162">
        <w:t xml:space="preserve"> </w:t>
      </w:r>
      <w:r w:rsidR="00AD4BE8" w:rsidRPr="00CF0162">
        <w:t>management</w:t>
      </w:r>
      <w:r w:rsidR="00585B88" w:rsidRPr="00CF0162">
        <w:t xml:space="preserve">, </w:t>
      </w:r>
      <w:r w:rsidR="00585B88" w:rsidRPr="00CF0162">
        <w:t>environmental</w:t>
      </w:r>
      <w:r w:rsidR="00585B88" w:rsidRPr="00CF0162">
        <w:t xml:space="preserve"> monitoring</w:t>
      </w:r>
      <w:r w:rsidR="00585B88" w:rsidRPr="00CF0162">
        <w:t>, engineering</w:t>
      </w:r>
      <w:r w:rsidR="00585B88" w:rsidRPr="00CF0162">
        <w:t xml:space="preserve"> geology</w:t>
      </w:r>
      <w:r w:rsidR="00585B88" w:rsidRPr="00CF0162">
        <w:t xml:space="preserve">, </w:t>
      </w:r>
      <w:r w:rsidR="00585B88" w:rsidRPr="00CF0162">
        <w:t xml:space="preserve">forensic analyses, </w:t>
      </w:r>
      <w:r w:rsidR="00585B88" w:rsidRPr="00CF0162">
        <w:t>urban infrastructure,</w:t>
      </w:r>
      <w:r w:rsidR="00341702" w:rsidRPr="00CF0162">
        <w:t xml:space="preserve"> challenges, and</w:t>
      </w:r>
      <w:r w:rsidR="00585B88" w:rsidRPr="00CF0162">
        <w:t xml:space="preserve"> meeting society’s energy </w:t>
      </w:r>
      <w:r w:rsidR="00341702" w:rsidRPr="00CF0162">
        <w:t xml:space="preserve">or resource </w:t>
      </w:r>
      <w:r w:rsidR="00585B88" w:rsidRPr="00CF0162">
        <w:t>needs</w:t>
      </w:r>
      <w:r w:rsidR="00341702" w:rsidRPr="00CF0162">
        <w:t>.</w:t>
      </w:r>
    </w:p>
    <w:p w14:paraId="6AAD6829" w14:textId="50A99787" w:rsidR="003579F1" w:rsidRPr="00CF0162" w:rsidRDefault="003579F1" w:rsidP="00221BE5"/>
    <w:p w14:paraId="3D30CD9B" w14:textId="3ADC94DB" w:rsidR="00884BB6" w:rsidRPr="00CF0162" w:rsidRDefault="00884BB6" w:rsidP="00884BB6">
      <w:r>
        <w:t>2</w:t>
      </w:r>
      <w:r w:rsidRPr="00CF0162">
        <w:tab/>
      </w:r>
      <w:r w:rsidRPr="00CF0162">
        <w:rPr>
          <w:b/>
        </w:rPr>
        <w:t>Module makes use of authentic and credible geo</w:t>
      </w:r>
      <w:r>
        <w:rPr>
          <w:b/>
        </w:rPr>
        <w:t>physic</w:t>
      </w:r>
      <w:r w:rsidR="004D1C7F">
        <w:rPr>
          <w:b/>
        </w:rPr>
        <w:t>al</w:t>
      </w:r>
      <w:r w:rsidRPr="00CF0162">
        <w:rPr>
          <w:b/>
        </w:rPr>
        <w:t xml:space="preserve"> data to learn central concepts in the context of geoscience methods of inquiry</w:t>
      </w:r>
      <w:r w:rsidRPr="00CF0162">
        <w:t xml:space="preserve">: Curricular materials use appropriate data available for the topics under discussion.  Data sets and / or references to data sources are provided as needed.  </w:t>
      </w:r>
    </w:p>
    <w:p w14:paraId="144C7F37" w14:textId="77777777" w:rsidR="00884BB6" w:rsidRPr="00CF0162" w:rsidRDefault="00884BB6" w:rsidP="00884BB6">
      <w:r w:rsidRPr="00CF0162">
        <w:t xml:space="preserve">  </w:t>
      </w:r>
    </w:p>
    <w:p w14:paraId="2BA2BA82" w14:textId="1C51F32A" w:rsidR="00884BB6" w:rsidRPr="00CF0162" w:rsidRDefault="00884BB6" w:rsidP="00884BB6">
      <w:r>
        <w:t>3</w:t>
      </w:r>
      <w:r w:rsidRPr="00CF0162">
        <w:tab/>
      </w:r>
      <w:r w:rsidRPr="00CF0162">
        <w:rPr>
          <w:b/>
        </w:rPr>
        <w:t>Module develops student ability to address interdisciplinary problems</w:t>
      </w:r>
      <w:r w:rsidR="004D1C7F">
        <w:rPr>
          <w:b/>
        </w:rPr>
        <w:t xml:space="preserve"> and apply geoscience learning to social issues</w:t>
      </w:r>
      <w:r w:rsidRPr="00CF0162">
        <w:t>: Interdisciplinary problems require diverse perspectives that promote understanding of the interactions between Earth science and economic, societal and policy issues.  Such materials integrate robust geoscience with trans-disciplinary knowledge from other disciplines such as geography, social sciences and humanities.</w:t>
      </w:r>
    </w:p>
    <w:p w14:paraId="1CD9E160" w14:textId="77777777" w:rsidR="00884BB6" w:rsidRPr="00CF0162" w:rsidRDefault="00884BB6" w:rsidP="00884BB6"/>
    <w:p w14:paraId="128B3A3E" w14:textId="6514BA67" w:rsidR="00341702" w:rsidRPr="00CF0162" w:rsidRDefault="00884BB6" w:rsidP="00CF0162">
      <w:r>
        <w:t>4</w:t>
      </w:r>
      <w:r w:rsidR="00341702" w:rsidRPr="00CF0162">
        <w:tab/>
      </w:r>
      <w:r w:rsidR="00341702" w:rsidRPr="00CF0162">
        <w:rPr>
          <w:b/>
        </w:rPr>
        <w:t>Module improves student understanding of the nature and methods of geo</w:t>
      </w:r>
      <w:r w:rsidR="00341702" w:rsidRPr="00CF0162">
        <w:rPr>
          <w:b/>
        </w:rPr>
        <w:t>physics</w:t>
      </w:r>
      <w:r w:rsidR="00341702" w:rsidRPr="00CF0162">
        <w:rPr>
          <w:b/>
        </w:rPr>
        <w:t xml:space="preserve"> and developing geoscientific habits of mind</w:t>
      </w:r>
      <w:r w:rsidR="00341702" w:rsidRPr="00CF0162">
        <w:t>: Geophysics is a discipline based on using physics to understand our planet. The methods of geophysics include collecting data about the Earth’s subsurface and using those data to test hypotheses and make predictions.</w:t>
      </w:r>
      <w:r w:rsidR="00341702" w:rsidRPr="00CF0162">
        <w:t xml:space="preserve"> </w:t>
      </w:r>
      <w:r w:rsidR="00341702" w:rsidRPr="00CF0162">
        <w:t xml:space="preserve">Geoscientific habits of mind include: recognition of the fundamental role of observation in understanding the Earth, </w:t>
      </w:r>
      <w:r w:rsidR="007A3813" w:rsidRPr="00CF0162">
        <w:t>recognizing the difference between credible and non-credible scientific arguments, scientific ideas are subject to change, scientific knowledge is long-lasting or durable but subject to change</w:t>
      </w:r>
      <w:r w:rsidR="00CF0162" w:rsidRPr="00CF0162">
        <w:t>,</w:t>
      </w:r>
      <w:r w:rsidR="007A3813" w:rsidRPr="00CF0162">
        <w:t xml:space="preserve"> science cannot answer all questions</w:t>
      </w:r>
      <w:r w:rsidR="007A3813" w:rsidRPr="00CF0162">
        <w:t xml:space="preserve">, </w:t>
      </w:r>
      <w:r w:rsidR="007A3813" w:rsidRPr="00CF0162">
        <w:t>recognition that science is a complex social activity</w:t>
      </w:r>
      <w:r w:rsidR="00CF0162" w:rsidRPr="00CF0162">
        <w:t xml:space="preserve">, </w:t>
      </w:r>
      <w:r w:rsidR="007A3813" w:rsidRPr="00CF0162">
        <w:t xml:space="preserve">there are accepted ethical principles related to the conduct of science, </w:t>
      </w:r>
      <w:r w:rsidR="00CF0162" w:rsidRPr="00CF0162">
        <w:t xml:space="preserve">and </w:t>
      </w:r>
      <w:r w:rsidR="007A3813" w:rsidRPr="00CF0162">
        <w:t>scientists communicate their understanding of the world to multiple audiences</w:t>
      </w:r>
      <w:r w:rsidR="00CF0162" w:rsidRPr="00CF0162">
        <w:t>.</w:t>
      </w:r>
      <w:r w:rsidR="00341702" w:rsidRPr="00CF0162">
        <w:t xml:space="preserve"> </w:t>
      </w:r>
    </w:p>
    <w:p w14:paraId="544B2865" w14:textId="77777777" w:rsidR="00341702" w:rsidRPr="00CF0162" w:rsidRDefault="00341702" w:rsidP="00221BE5"/>
    <w:p w14:paraId="2F56A6E1" w14:textId="0D32C34C" w:rsidR="007A3813" w:rsidRPr="00CF0162" w:rsidRDefault="00B12DA0" w:rsidP="00221BE5">
      <w:r w:rsidRPr="00CF0162">
        <w:t>5</w:t>
      </w:r>
      <w:r w:rsidR="00041184" w:rsidRPr="00CF0162">
        <w:tab/>
      </w:r>
      <w:r w:rsidR="00341702" w:rsidRPr="00CF0162">
        <w:rPr>
          <w:b/>
          <w:bCs/>
        </w:rPr>
        <w:t>Increase student capacity to apply quantitative skills, data analysis, and interpretation to geoscience learning</w:t>
      </w:r>
      <w:r w:rsidR="00D915BE" w:rsidRPr="00CF0162">
        <w:rPr>
          <w:b/>
          <w:bCs/>
        </w:rPr>
        <w:t xml:space="preserve">: </w:t>
      </w:r>
      <w:r w:rsidR="007A3813" w:rsidRPr="00CF0162">
        <w:t>Curricular materials promote mastery of geophysical techniques that are central to solving authentic geoscience problems and assist students in recognizing when those techniques are likely to be applicable to a problem.</w:t>
      </w:r>
      <w:r w:rsidR="007A3813" w:rsidRPr="00CF0162">
        <w:t xml:space="preserve"> </w:t>
      </w:r>
      <w:r w:rsidR="007A3813" w:rsidRPr="00CF0162">
        <w:t xml:space="preserve">Analyzing and interpreting geophysical data is essential to applying these </w:t>
      </w:r>
      <w:r w:rsidR="007A3813" w:rsidRPr="00CF0162">
        <w:t xml:space="preserve">methods </w:t>
      </w:r>
      <w:proofErr w:type="gramStart"/>
      <w:r w:rsidR="007A3813" w:rsidRPr="00CF0162">
        <w:t>and</w:t>
      </w:r>
      <w:r w:rsidR="007A3813" w:rsidRPr="00CF0162">
        <w:t xml:space="preserve"> also</w:t>
      </w:r>
      <w:proofErr w:type="gramEnd"/>
      <w:r w:rsidR="007A3813" w:rsidRPr="00CF0162">
        <w:t xml:space="preserve"> strengthens students’ quantitative and critical thinking skills.</w:t>
      </w:r>
      <w:r w:rsidR="007A3813" w:rsidRPr="00CF0162">
        <w:t xml:space="preserve"> </w:t>
      </w:r>
      <w:r w:rsidR="00D915BE" w:rsidRPr="00CF0162">
        <w:t>Instill students with the confidence needed to approach and solve a quantitative problem.</w:t>
      </w:r>
      <w:r w:rsidR="00221BE5" w:rsidRPr="00CF0162">
        <w:t xml:space="preserve"> </w:t>
      </w:r>
    </w:p>
    <w:p w14:paraId="6F7AE5EA" w14:textId="77777777" w:rsidR="007A3813" w:rsidRDefault="007A3813">
      <w:pPr>
        <w:rPr>
          <w:sz w:val="22"/>
          <w:szCs w:val="22"/>
        </w:rPr>
      </w:pPr>
      <w:r>
        <w:rPr>
          <w:sz w:val="22"/>
          <w:szCs w:val="22"/>
        </w:rPr>
        <w:br w:type="page"/>
      </w:r>
    </w:p>
    <w:p w14:paraId="09C10239" w14:textId="5A009AAC" w:rsidR="00041184" w:rsidRPr="00041184" w:rsidRDefault="00221BE5" w:rsidP="007A3813">
      <w:pPr>
        <w:pStyle w:val="Heading1"/>
      </w:pPr>
      <w:r w:rsidRPr="00041184">
        <w:lastRenderedPageBreak/>
        <w:t xml:space="preserve">Learning </w:t>
      </w:r>
      <w:r w:rsidR="00507DA7">
        <w:t>G</w:t>
      </w:r>
      <w:r w:rsidR="00FA4294">
        <w:t>oals</w:t>
      </w:r>
      <w:r w:rsidR="00EB39E0">
        <w:t xml:space="preserve"> and Outcomes</w:t>
      </w:r>
      <w:r w:rsidR="003A7459">
        <w:t xml:space="preserve"> (must score </w:t>
      </w:r>
      <w:r w:rsidR="00E305B5">
        <w:t>10</w:t>
      </w:r>
      <w:r w:rsidR="003A7459">
        <w:t>/1</w:t>
      </w:r>
      <w:r w:rsidR="00CF0162">
        <w:t>2</w:t>
      </w:r>
      <w:r w:rsidR="003A7459">
        <w:t>)</w:t>
      </w:r>
      <w:r w:rsidRPr="00041184">
        <w:tab/>
      </w:r>
    </w:p>
    <w:p w14:paraId="2A4CD7C9" w14:textId="4C7F0106" w:rsidR="00221BE5" w:rsidRDefault="00221BE5" w:rsidP="00221BE5">
      <w:r>
        <w:tab/>
      </w:r>
    </w:p>
    <w:p w14:paraId="60FF0FE3" w14:textId="26740141" w:rsidR="00221BE5" w:rsidRPr="00CF0162" w:rsidRDefault="00B12DA0" w:rsidP="00221BE5">
      <w:r w:rsidRPr="00CF0162">
        <w:t>6</w:t>
      </w:r>
      <w:r w:rsidR="00221BE5" w:rsidRPr="00CF0162">
        <w:tab/>
      </w:r>
      <w:r w:rsidR="00221BE5" w:rsidRPr="00CF0162">
        <w:rPr>
          <w:b/>
        </w:rPr>
        <w:t>Learning o</w:t>
      </w:r>
      <w:r w:rsidR="00EB39E0" w:rsidRPr="00CF0162">
        <w:rPr>
          <w:b/>
        </w:rPr>
        <w:t>utcomes</w:t>
      </w:r>
      <w:r w:rsidR="00221BE5" w:rsidRPr="00CF0162">
        <w:rPr>
          <w:b/>
        </w:rPr>
        <w:t xml:space="preserve"> describe </w:t>
      </w:r>
      <w:r w:rsidR="00CF0162" w:rsidRPr="00CF0162">
        <w:rPr>
          <w:b/>
        </w:rPr>
        <w:t>measurable</w:t>
      </w:r>
      <w:r w:rsidR="00041184" w:rsidRPr="00CF0162">
        <w:rPr>
          <w:b/>
        </w:rPr>
        <w:t xml:space="preserve"> </w:t>
      </w:r>
      <w:r w:rsidR="00FA4294" w:rsidRPr="00CF0162">
        <w:rPr>
          <w:b/>
        </w:rPr>
        <w:t>goals</w:t>
      </w:r>
      <w:r w:rsidR="00221BE5" w:rsidRPr="00CF0162">
        <w:t xml:space="preserve">: </w:t>
      </w:r>
      <w:r w:rsidR="00884BB6" w:rsidRPr="00884BB6">
        <w:t xml:space="preserve">Learning outcomes are clear statements that describe the desired goals of the instruction.  Learning outcomes are directly stated specific competencies, skills and/or knowledge that students are to master or demonstrate.  </w:t>
      </w:r>
    </w:p>
    <w:p w14:paraId="65843E50" w14:textId="77777777" w:rsidR="00ED5A1C" w:rsidRPr="00CF0162" w:rsidRDefault="00ED5A1C" w:rsidP="00221BE5"/>
    <w:p w14:paraId="34115773" w14:textId="595DDBEA" w:rsidR="00221BE5" w:rsidRPr="00CF0162" w:rsidRDefault="00B12DA0" w:rsidP="00221BE5">
      <w:r w:rsidRPr="00CF0162">
        <w:t>7</w:t>
      </w:r>
      <w:r w:rsidR="00221BE5" w:rsidRPr="00CF0162">
        <w:tab/>
      </w:r>
      <w:r w:rsidR="00221BE5" w:rsidRPr="00CF0162">
        <w:rPr>
          <w:b/>
        </w:rPr>
        <w:t xml:space="preserve">Instructions and/or rubrics provide </w:t>
      </w:r>
      <w:r w:rsidR="003579F1" w:rsidRPr="00CF0162">
        <w:rPr>
          <w:b/>
        </w:rPr>
        <w:t>guidance</w:t>
      </w:r>
      <w:r w:rsidR="00221BE5" w:rsidRPr="00CF0162">
        <w:rPr>
          <w:b/>
        </w:rPr>
        <w:t xml:space="preserve"> for how students meet </w:t>
      </w:r>
      <w:r w:rsidR="00ED5A1C" w:rsidRPr="00CF0162">
        <w:rPr>
          <w:b/>
        </w:rPr>
        <w:t xml:space="preserve">learning </w:t>
      </w:r>
      <w:r w:rsidR="00FA4294" w:rsidRPr="00CF0162">
        <w:rPr>
          <w:b/>
        </w:rPr>
        <w:t>goals</w:t>
      </w:r>
      <w:r w:rsidR="00221BE5" w:rsidRPr="00CF0162">
        <w:t xml:space="preserve">: Rubrics are developed that provide the student a clear indication of the performance conditions and standards necessary to meet learning </w:t>
      </w:r>
      <w:r w:rsidR="00FA4294" w:rsidRPr="00CF0162">
        <w:t>goals</w:t>
      </w:r>
      <w:r w:rsidR="00221BE5" w:rsidRPr="00CF0162">
        <w:t>.  If this specificity is not possible (e.g. internal cognition, affective changes), metrics used to measure indications of such change must be described for the student.</w:t>
      </w:r>
      <w:r w:rsidR="00221BE5" w:rsidRPr="00CF0162">
        <w:tab/>
      </w:r>
    </w:p>
    <w:p w14:paraId="16E923C4" w14:textId="77777777" w:rsidR="00ED5A1C" w:rsidRPr="00CF0162" w:rsidRDefault="00ED5A1C" w:rsidP="00221BE5"/>
    <w:p w14:paraId="1854A468" w14:textId="0C74AE17" w:rsidR="00221BE5" w:rsidRPr="00CF0162" w:rsidRDefault="00B12DA0" w:rsidP="00221BE5">
      <w:r w:rsidRPr="00CF0162">
        <w:t>8</w:t>
      </w:r>
      <w:r w:rsidR="00221BE5" w:rsidRPr="00CF0162">
        <w:tab/>
      </w:r>
      <w:r w:rsidR="00221BE5" w:rsidRPr="00CF0162">
        <w:rPr>
          <w:b/>
        </w:rPr>
        <w:t xml:space="preserve">Learning </w:t>
      </w:r>
      <w:r w:rsidR="00FA4294" w:rsidRPr="00CF0162">
        <w:rPr>
          <w:b/>
        </w:rPr>
        <w:t>goals</w:t>
      </w:r>
      <w:r w:rsidR="00221BE5" w:rsidRPr="00CF0162">
        <w:rPr>
          <w:b/>
        </w:rPr>
        <w:t xml:space="preserve"> </w:t>
      </w:r>
      <w:r w:rsidR="00EB39E0" w:rsidRPr="00CF0162">
        <w:rPr>
          <w:b/>
        </w:rPr>
        <w:t xml:space="preserve">and outcomes </w:t>
      </w:r>
      <w:r w:rsidR="00221BE5" w:rsidRPr="00CF0162">
        <w:rPr>
          <w:b/>
        </w:rPr>
        <w:t xml:space="preserve">are appropriate for the </w:t>
      </w:r>
      <w:r w:rsidR="00ED5A1C" w:rsidRPr="00CF0162">
        <w:rPr>
          <w:b/>
        </w:rPr>
        <w:t>intended use</w:t>
      </w:r>
      <w:r w:rsidR="00EB39E0" w:rsidRPr="00CF0162">
        <w:rPr>
          <w:b/>
        </w:rPr>
        <w:t xml:space="preserve"> of the </w:t>
      </w:r>
      <w:r w:rsidR="006F573A" w:rsidRPr="00CF0162">
        <w:rPr>
          <w:b/>
        </w:rPr>
        <w:t>module</w:t>
      </w:r>
      <w:r w:rsidR="00221BE5" w:rsidRPr="00CF0162">
        <w:t xml:space="preserve">: Lower-division </w:t>
      </w:r>
      <w:r w:rsidR="00CF0162" w:rsidRPr="00CF0162">
        <w:t>modules</w:t>
      </w:r>
      <w:r w:rsidR="00221BE5" w:rsidRPr="00CF0162">
        <w:t xml:space="preserve"> should address content mastery, critical thinking skills, and core learning skills related to introducing </w:t>
      </w:r>
      <w:r w:rsidR="00507DA7" w:rsidRPr="00CF0162">
        <w:t>guiding principles</w:t>
      </w:r>
      <w:r w:rsidR="00221BE5" w:rsidRPr="00CF0162">
        <w:t xml:space="preserve">. Upper-division and graduate </w:t>
      </w:r>
      <w:r w:rsidR="00CF0162" w:rsidRPr="00CF0162">
        <w:t>modules</w:t>
      </w:r>
      <w:r w:rsidR="00221BE5" w:rsidRPr="00CF0162">
        <w:t xml:space="preserve"> may focus on advanced </w:t>
      </w:r>
      <w:r w:rsidR="00507DA7" w:rsidRPr="00CF0162">
        <w:t xml:space="preserve">guiding principles </w:t>
      </w:r>
      <w:r w:rsidR="00221BE5" w:rsidRPr="00CF0162">
        <w:t>related to global interdisciplinary problems</w:t>
      </w:r>
      <w:r w:rsidR="00CF0162" w:rsidRPr="00CF0162">
        <w:t xml:space="preserve"> and/or more in-depth data analysis, interpretation, and communication</w:t>
      </w:r>
      <w:r w:rsidR="00221BE5" w:rsidRPr="00CF0162">
        <w:t>.</w:t>
      </w:r>
      <w:r w:rsidR="00221BE5" w:rsidRPr="00CF0162">
        <w:tab/>
      </w:r>
    </w:p>
    <w:p w14:paraId="090DCC15" w14:textId="77777777" w:rsidR="00ED5A1C" w:rsidRPr="00CF0162" w:rsidRDefault="00ED5A1C" w:rsidP="00221BE5"/>
    <w:p w14:paraId="2C69319F" w14:textId="7BE01CC0" w:rsidR="00CF0162" w:rsidRPr="00CF0162" w:rsidRDefault="00B12DA0" w:rsidP="00221BE5">
      <w:r w:rsidRPr="00CF0162">
        <w:t>9</w:t>
      </w:r>
      <w:r w:rsidR="00221BE5" w:rsidRPr="00CF0162">
        <w:tab/>
      </w:r>
      <w:r w:rsidR="00221BE5" w:rsidRPr="00CF0162">
        <w:rPr>
          <w:b/>
        </w:rPr>
        <w:t xml:space="preserve">Learning </w:t>
      </w:r>
      <w:r w:rsidR="00FA4294" w:rsidRPr="00CF0162">
        <w:rPr>
          <w:b/>
        </w:rPr>
        <w:t>goals</w:t>
      </w:r>
      <w:r w:rsidR="00EB39E0" w:rsidRPr="00CF0162">
        <w:rPr>
          <w:b/>
        </w:rPr>
        <w:t xml:space="preserve"> and outcomes</w:t>
      </w:r>
      <w:r w:rsidR="00ED5A1C" w:rsidRPr="00CF0162">
        <w:rPr>
          <w:b/>
        </w:rPr>
        <w:t xml:space="preserve"> </w:t>
      </w:r>
      <w:r w:rsidR="00221BE5" w:rsidRPr="00CF0162">
        <w:rPr>
          <w:b/>
        </w:rPr>
        <w:t>are clearly stated for each module in language suitable for the level of the students</w:t>
      </w:r>
      <w:r w:rsidR="00221BE5" w:rsidRPr="00CF0162">
        <w:t xml:space="preserve">: Learning </w:t>
      </w:r>
      <w:r w:rsidR="00FA4294" w:rsidRPr="00CF0162">
        <w:t>goals</w:t>
      </w:r>
      <w:r w:rsidR="00EB39E0" w:rsidRPr="00CF0162">
        <w:t xml:space="preserve"> and outcomes</w:t>
      </w:r>
      <w:r w:rsidR="00ED5A1C" w:rsidRPr="00CF0162">
        <w:t xml:space="preserve"> </w:t>
      </w:r>
      <w:r w:rsidR="00221BE5" w:rsidRPr="00CF0162">
        <w:t>should avoid jargon and highly technical language unless required.</w:t>
      </w:r>
    </w:p>
    <w:p w14:paraId="5FBBDCAC" w14:textId="77777777" w:rsidR="00CF0162" w:rsidRDefault="00CF0162">
      <w:pPr>
        <w:rPr>
          <w:sz w:val="22"/>
          <w:szCs w:val="22"/>
        </w:rPr>
      </w:pPr>
      <w:r>
        <w:rPr>
          <w:sz w:val="22"/>
          <w:szCs w:val="22"/>
        </w:rPr>
        <w:br w:type="page"/>
      </w:r>
    </w:p>
    <w:p w14:paraId="0ED8F901" w14:textId="0C291401" w:rsidR="00ED5A1C" w:rsidRPr="00ED5A1C" w:rsidRDefault="00221BE5" w:rsidP="007A3813">
      <w:pPr>
        <w:pStyle w:val="Heading1"/>
      </w:pPr>
      <w:r w:rsidRPr="00ED5A1C">
        <w:lastRenderedPageBreak/>
        <w:t>Assessment and Measurement</w:t>
      </w:r>
      <w:r w:rsidR="003A7459">
        <w:t xml:space="preserve"> (must score 1</w:t>
      </w:r>
      <w:r w:rsidR="00CF0162">
        <w:t>2</w:t>
      </w:r>
      <w:r w:rsidR="003A7459">
        <w:t>/15)</w:t>
      </w:r>
    </w:p>
    <w:p w14:paraId="5A730DA3" w14:textId="34D555A9" w:rsidR="00221BE5" w:rsidRDefault="00221BE5" w:rsidP="00221BE5">
      <w:r>
        <w:tab/>
      </w:r>
      <w:r>
        <w:tab/>
      </w:r>
      <w:r>
        <w:tab/>
      </w:r>
    </w:p>
    <w:p w14:paraId="43B42AEB" w14:textId="292CBBAC" w:rsidR="00ED5A1C" w:rsidRPr="00CF0162" w:rsidRDefault="00ED5A1C" w:rsidP="00221BE5">
      <w:r w:rsidRPr="00CF0162">
        <w:t>1</w:t>
      </w:r>
      <w:r w:rsidR="00CF0162">
        <w:t>0</w:t>
      </w:r>
      <w:r w:rsidR="00221BE5" w:rsidRPr="00CF0162">
        <w:tab/>
      </w:r>
      <w:r w:rsidR="00221BE5" w:rsidRPr="00CF0162">
        <w:rPr>
          <w:b/>
        </w:rPr>
        <w:t xml:space="preserve">Assessments measure the learning </w:t>
      </w:r>
      <w:r w:rsidR="00FA4294" w:rsidRPr="00CF0162">
        <w:rPr>
          <w:b/>
        </w:rPr>
        <w:t>goals</w:t>
      </w:r>
      <w:r w:rsidR="00221BE5" w:rsidRPr="00CF0162">
        <w:t xml:space="preserve">: Embedded formative assessments and summative assessments and assignments will provide logical tools to determine the extent to which students have met the module </w:t>
      </w:r>
      <w:r w:rsidR="00FA4294" w:rsidRPr="00CF0162">
        <w:t>goals</w:t>
      </w:r>
      <w:r w:rsidR="00221BE5" w:rsidRPr="00CF0162">
        <w:t xml:space="preserve">.  These activities must match course content such that they help the student </w:t>
      </w:r>
      <w:r w:rsidR="009554E2" w:rsidRPr="00CF0162">
        <w:t>achieve</w:t>
      </w:r>
      <w:r w:rsidR="00221BE5" w:rsidRPr="00CF0162">
        <w:t xml:space="preserve"> the </w:t>
      </w:r>
      <w:r w:rsidR="00FA4294" w:rsidRPr="00CF0162">
        <w:t>goals</w:t>
      </w:r>
      <w:r w:rsidR="00221BE5" w:rsidRPr="00CF0162">
        <w:t xml:space="preserve"> (and t</w:t>
      </w:r>
      <w:r w:rsidRPr="00CF0162">
        <w:t>hus be able do the assignments).</w:t>
      </w:r>
    </w:p>
    <w:p w14:paraId="0ADF078D" w14:textId="71DF5994" w:rsidR="00221BE5" w:rsidRPr="00CF0162" w:rsidRDefault="00221BE5" w:rsidP="00221BE5">
      <w:r w:rsidRPr="00CF0162">
        <w:tab/>
      </w:r>
    </w:p>
    <w:p w14:paraId="5F46E90D" w14:textId="10A250C3" w:rsidR="00ED5A1C" w:rsidRPr="00CF0162" w:rsidRDefault="00ED5A1C" w:rsidP="00221BE5">
      <w:r w:rsidRPr="00CF0162">
        <w:t>1</w:t>
      </w:r>
      <w:r w:rsidR="00CF0162">
        <w:t>1</w:t>
      </w:r>
      <w:r w:rsidR="00221BE5" w:rsidRPr="00CF0162">
        <w:tab/>
      </w:r>
      <w:r w:rsidR="00221BE5" w:rsidRPr="00CF0162">
        <w:rPr>
          <w:b/>
        </w:rPr>
        <w:t>Assessments are criterion referenced</w:t>
      </w:r>
      <w:r w:rsidR="00221BE5" w:rsidRPr="00CF0162">
        <w:t>:  Assessments include a clear and meaningful list of criteria use</w:t>
      </w:r>
      <w:r w:rsidR="009554E2" w:rsidRPr="00CF0162">
        <w:t>d</w:t>
      </w:r>
      <w:r w:rsidR="00221BE5" w:rsidRPr="00CF0162">
        <w:t xml:space="preserve"> to evaluate student work and participation </w:t>
      </w:r>
      <w:r w:rsidR="009554E2" w:rsidRPr="00CF0162">
        <w:t>including</w:t>
      </w:r>
      <w:r w:rsidR="00221BE5" w:rsidRPr="00CF0162">
        <w:t xml:space="preserve"> all the information students need to know how a grade will be calculated.  This could be accomplished with a formal rubric or with a more informally structured description of what each grade looks like. This could involve a rubric for each type of assignment, a list of criteria and associated point values for specific assignments or a sample of acceptable or unacceptable student work such as examples of excellent or poor papers or projects.</w:t>
      </w:r>
    </w:p>
    <w:p w14:paraId="29315DD4" w14:textId="3E678CC3" w:rsidR="00221BE5" w:rsidRPr="00CF0162" w:rsidRDefault="00221BE5" w:rsidP="00221BE5">
      <w:r w:rsidRPr="00CF0162">
        <w:tab/>
      </w:r>
    </w:p>
    <w:p w14:paraId="1C2C2D40" w14:textId="47F6346C" w:rsidR="00ED5A1C" w:rsidRPr="00CF0162" w:rsidRDefault="00ED5A1C" w:rsidP="00221BE5">
      <w:r w:rsidRPr="00CF0162">
        <w:t>1</w:t>
      </w:r>
      <w:r w:rsidR="00CF0162">
        <w:t>2</w:t>
      </w:r>
      <w:r w:rsidR="00221BE5" w:rsidRPr="00CF0162">
        <w:tab/>
      </w:r>
      <w:r w:rsidR="00221BE5" w:rsidRPr="00CF0162">
        <w:rPr>
          <w:b/>
        </w:rPr>
        <w:t>Assess</w:t>
      </w:r>
      <w:r w:rsidR="00936E7A" w:rsidRPr="00CF0162">
        <w:rPr>
          <w:b/>
        </w:rPr>
        <w:t>ments are consistent with module</w:t>
      </w:r>
      <w:r w:rsidR="00221BE5" w:rsidRPr="00CF0162">
        <w:rPr>
          <w:b/>
        </w:rPr>
        <w:t xml:space="preserve"> activities and resources expected</w:t>
      </w:r>
      <w:r w:rsidR="00221BE5" w:rsidRPr="00CF0162">
        <w:t xml:space="preserve">: Assessments and assignments should support </w:t>
      </w:r>
      <w:r w:rsidR="00936E7A" w:rsidRPr="00CF0162">
        <w:t>module</w:t>
      </w:r>
      <w:r w:rsidR="00221BE5" w:rsidRPr="00CF0162">
        <w:t xml:space="preserve"> activities and be designed to measure the extent to which the student has accomplished one or more of the </w:t>
      </w:r>
      <w:r w:rsidR="00FA4294" w:rsidRPr="00CF0162">
        <w:t>goals</w:t>
      </w:r>
      <w:r w:rsidR="00221BE5" w:rsidRPr="00CF0162">
        <w:t xml:space="preserve">. Every assignment should link directly to the </w:t>
      </w:r>
      <w:r w:rsidR="00FA4294" w:rsidRPr="00CF0162">
        <w:t>goals</w:t>
      </w:r>
      <w:r w:rsidR="00221BE5" w:rsidRPr="00CF0162">
        <w:t xml:space="preserve"> assessed. Resources needed for activities and assessments are clearly stated. </w:t>
      </w:r>
    </w:p>
    <w:p w14:paraId="65E94AEE" w14:textId="65D0AD04" w:rsidR="00221BE5" w:rsidRPr="00CF0162" w:rsidRDefault="00221BE5" w:rsidP="00221BE5">
      <w:r w:rsidRPr="00CF0162">
        <w:tab/>
      </w:r>
    </w:p>
    <w:p w14:paraId="0366B65C" w14:textId="574B250D" w:rsidR="00ED5A1C" w:rsidRPr="00CF0162" w:rsidRDefault="00ED5A1C" w:rsidP="00221BE5">
      <w:r w:rsidRPr="00CF0162">
        <w:t>1</w:t>
      </w:r>
      <w:r w:rsidR="00CF0162">
        <w:t>3</w:t>
      </w:r>
      <w:r w:rsidR="00221BE5" w:rsidRPr="00CF0162">
        <w:tab/>
      </w:r>
      <w:r w:rsidR="009554E2" w:rsidRPr="00CF0162">
        <w:rPr>
          <w:b/>
        </w:rPr>
        <w:t xml:space="preserve">Assessments are sequenced, </w:t>
      </w:r>
      <w:r w:rsidR="00221BE5" w:rsidRPr="00CF0162">
        <w:rPr>
          <w:b/>
        </w:rPr>
        <w:t>varied and appropriate to the content</w:t>
      </w:r>
      <w:r w:rsidR="00221BE5" w:rsidRPr="00CF0162">
        <w:t xml:space="preserve">: The sequence and schedule or pace of the assessments match the content.   Assessments should vary in type and duration and can build on previously acquired knowledge within the or in prerequisite courses. </w:t>
      </w:r>
    </w:p>
    <w:p w14:paraId="41EC8027" w14:textId="166E9761" w:rsidR="00221BE5" w:rsidRPr="00CF0162" w:rsidRDefault="00221BE5" w:rsidP="00221BE5">
      <w:r w:rsidRPr="00CF0162">
        <w:tab/>
      </w:r>
    </w:p>
    <w:p w14:paraId="6BB48899" w14:textId="32A90690" w:rsidR="00CF0162" w:rsidRPr="00CF0162" w:rsidRDefault="002E2CFD" w:rsidP="00221BE5">
      <w:r w:rsidRPr="00CF0162">
        <w:t>1</w:t>
      </w:r>
      <w:r w:rsidR="00CF0162">
        <w:t>4</w:t>
      </w:r>
      <w:r w:rsidR="00221BE5" w:rsidRPr="00CF0162">
        <w:tab/>
      </w:r>
      <w:r w:rsidR="009554E2" w:rsidRPr="00CF0162">
        <w:rPr>
          <w:b/>
        </w:rPr>
        <w:t xml:space="preserve">Assessments address </w:t>
      </w:r>
      <w:r w:rsidR="00FA4294" w:rsidRPr="00CF0162">
        <w:rPr>
          <w:b/>
        </w:rPr>
        <w:t>goals</w:t>
      </w:r>
      <w:r w:rsidR="00221BE5" w:rsidRPr="00CF0162">
        <w:rPr>
          <w:b/>
        </w:rPr>
        <w:t xml:space="preserve"> at successively higher cognitive levels</w:t>
      </w:r>
      <w:r w:rsidR="00221BE5" w:rsidRPr="00CF0162">
        <w:t xml:space="preserve">: If appropriate, assessments progress from </w:t>
      </w:r>
      <w:r w:rsidR="00CF0162" w:rsidRPr="00CF0162">
        <w:t>lower level</w:t>
      </w:r>
      <w:r w:rsidR="00221BE5" w:rsidRPr="00CF0162">
        <w:t xml:space="preserve"> </w:t>
      </w:r>
      <w:r w:rsidR="00CF0162">
        <w:t xml:space="preserve">(i.e., </w:t>
      </w:r>
      <w:r w:rsidR="00221BE5" w:rsidRPr="00CF0162">
        <w:t>knowledge recall</w:t>
      </w:r>
      <w:r w:rsidR="00CF0162">
        <w:t>)</w:t>
      </w:r>
      <w:r w:rsidR="00221BE5" w:rsidRPr="00CF0162">
        <w:t xml:space="preserve"> and understanding to higher order thinking, application of knowledge and even knowledge creation. </w:t>
      </w:r>
      <w:r w:rsidR="009554E2" w:rsidRPr="00CF0162">
        <w:t xml:space="preserve"> Feedback from these assessments inform</w:t>
      </w:r>
      <w:r w:rsidR="009C54B7" w:rsidRPr="00CF0162">
        <w:t>s</w:t>
      </w:r>
      <w:r w:rsidR="009554E2" w:rsidRPr="00CF0162">
        <w:t xml:space="preserve"> the student of their level of </w:t>
      </w:r>
      <w:r w:rsidR="009C54B7" w:rsidRPr="00CF0162">
        <w:t>learning.</w:t>
      </w:r>
    </w:p>
    <w:p w14:paraId="4B2DBDA6" w14:textId="77777777" w:rsidR="00CF0162" w:rsidRDefault="00CF0162">
      <w:pPr>
        <w:rPr>
          <w:sz w:val="22"/>
          <w:szCs w:val="22"/>
        </w:rPr>
      </w:pPr>
      <w:r>
        <w:rPr>
          <w:sz w:val="22"/>
          <w:szCs w:val="22"/>
        </w:rPr>
        <w:br w:type="page"/>
      </w:r>
    </w:p>
    <w:p w14:paraId="19967222" w14:textId="4328C945" w:rsidR="009C54B7" w:rsidRPr="009C54B7" w:rsidRDefault="00221BE5" w:rsidP="007A3813">
      <w:pPr>
        <w:pStyle w:val="Heading1"/>
      </w:pPr>
      <w:r w:rsidRPr="009C54B7">
        <w:lastRenderedPageBreak/>
        <w:t>Resources and Materials</w:t>
      </w:r>
      <w:r w:rsidR="003A7459">
        <w:t xml:space="preserve"> (must score 15/18)</w:t>
      </w:r>
      <w:r w:rsidRPr="009C54B7">
        <w:tab/>
      </w:r>
    </w:p>
    <w:p w14:paraId="2F06790F" w14:textId="3BA547BC" w:rsidR="00221BE5" w:rsidRDefault="00221BE5" w:rsidP="00221BE5">
      <w:r>
        <w:tab/>
      </w:r>
      <w:r>
        <w:tab/>
      </w:r>
    </w:p>
    <w:p w14:paraId="265F0CDE" w14:textId="7845D693" w:rsidR="00221BE5" w:rsidRPr="00CF0162" w:rsidRDefault="002E2CFD" w:rsidP="00221BE5">
      <w:r w:rsidRPr="00CF0162">
        <w:t>1</w:t>
      </w:r>
      <w:r w:rsidR="00E003AE">
        <w:t>5</w:t>
      </w:r>
      <w:r w:rsidR="00221BE5" w:rsidRPr="00CF0162">
        <w:tab/>
      </w:r>
      <w:r w:rsidR="00221BE5" w:rsidRPr="00CF0162">
        <w:rPr>
          <w:b/>
        </w:rPr>
        <w:t>Instructional materials contribute to the stated learning o</w:t>
      </w:r>
      <w:r w:rsidR="00EB39E0" w:rsidRPr="00CF0162">
        <w:rPr>
          <w:b/>
        </w:rPr>
        <w:t>utcomes</w:t>
      </w:r>
      <w:r w:rsidR="00221BE5" w:rsidRPr="00CF0162">
        <w:t xml:space="preserve">: </w:t>
      </w:r>
      <w:r w:rsidR="00E003AE" w:rsidRPr="00E003AE">
        <w:t>Module materials such as textbooks, monographs, articles, lecture notes, audio or video recordings, games, or websites directly support one or more guiding principles, literacy goals or core concepts embedded in learning goals and outcomes</w:t>
      </w:r>
      <w:r w:rsidR="00221BE5" w:rsidRPr="00CF0162">
        <w:t xml:space="preserve">.  </w:t>
      </w:r>
    </w:p>
    <w:p w14:paraId="746FC933" w14:textId="77777777" w:rsidR="009C54B7" w:rsidRPr="00CF0162" w:rsidRDefault="009C54B7" w:rsidP="00221BE5"/>
    <w:p w14:paraId="277D6103" w14:textId="4DF4C882" w:rsidR="00221BE5" w:rsidRPr="00111D88" w:rsidRDefault="002E2CFD" w:rsidP="00221BE5">
      <w:r w:rsidRPr="00CF0162">
        <w:t>1</w:t>
      </w:r>
      <w:r w:rsidR="00E003AE">
        <w:t>6</w:t>
      </w:r>
      <w:r w:rsidR="009C54B7" w:rsidRPr="00CF0162">
        <w:tab/>
      </w:r>
      <w:r w:rsidR="00221BE5" w:rsidRPr="00CF0162">
        <w:rPr>
          <w:b/>
        </w:rPr>
        <w:t>Students will recognize the link between the learning o</w:t>
      </w:r>
      <w:r w:rsidR="00EB39E0" w:rsidRPr="00CF0162">
        <w:rPr>
          <w:b/>
        </w:rPr>
        <w:t>utcom</w:t>
      </w:r>
      <w:r w:rsidR="00221BE5" w:rsidRPr="00CF0162">
        <w:rPr>
          <w:b/>
        </w:rPr>
        <w:t>es</w:t>
      </w:r>
      <w:r w:rsidRPr="00CF0162">
        <w:rPr>
          <w:b/>
        </w:rPr>
        <w:t xml:space="preserve">, </w:t>
      </w:r>
      <w:r w:rsidR="00FA4294" w:rsidRPr="00CF0162">
        <w:rPr>
          <w:b/>
        </w:rPr>
        <w:t>goals</w:t>
      </w:r>
      <w:r w:rsidR="00221BE5" w:rsidRPr="00CF0162">
        <w:rPr>
          <w:b/>
        </w:rPr>
        <w:t xml:space="preserve"> and the learning materials</w:t>
      </w:r>
      <w:r w:rsidR="00221BE5" w:rsidRPr="00CF0162">
        <w:t xml:space="preserve">: </w:t>
      </w:r>
      <w:r w:rsidR="00E003AE" w:rsidRPr="00E003AE">
        <w:t xml:space="preserve">Materials are designed such that students can recognize the purpose of all content, materials, resources, technologies, and instructional methods used in the module; how each resource helps them achieve the stated learning goals; and which materials are required and which are recommended resources. Reviewers will assess whether they believe the students will </w:t>
      </w:r>
      <w:r w:rsidR="00E003AE" w:rsidRPr="00111D88">
        <w:t xml:space="preserve">understand how to use the materials provided.  </w:t>
      </w:r>
      <w:r w:rsidR="00221BE5" w:rsidRPr="00111D88">
        <w:t xml:space="preserve">  </w:t>
      </w:r>
    </w:p>
    <w:p w14:paraId="0FFF8B0E" w14:textId="6CAA12BA" w:rsidR="00221BE5" w:rsidRPr="00111D88" w:rsidRDefault="00221BE5" w:rsidP="00221BE5"/>
    <w:p w14:paraId="57BC1070" w14:textId="10EDE96C" w:rsidR="009C54B7" w:rsidRPr="00CF0162" w:rsidRDefault="002E2CFD" w:rsidP="00221BE5">
      <w:r w:rsidRPr="00111D88">
        <w:t>1</w:t>
      </w:r>
      <w:r w:rsidR="00111D88" w:rsidRPr="00111D88">
        <w:t>7</w:t>
      </w:r>
      <w:r w:rsidR="00221BE5" w:rsidRPr="00111D88">
        <w:tab/>
      </w:r>
      <w:r w:rsidR="00221BE5" w:rsidRPr="00111D88">
        <w:rPr>
          <w:b/>
        </w:rPr>
        <w:t xml:space="preserve">Instructional materials </w:t>
      </w:r>
      <w:r w:rsidRPr="00111D88">
        <w:rPr>
          <w:b/>
        </w:rPr>
        <w:t>should be sufficiently diverse</w:t>
      </w:r>
      <w:r w:rsidR="00221BE5" w:rsidRPr="00111D88">
        <w:rPr>
          <w:b/>
        </w:rPr>
        <w:t xml:space="preserve"> and </w:t>
      </w:r>
      <w:r w:rsidRPr="00111D88">
        <w:rPr>
          <w:b/>
        </w:rPr>
        <w:t xml:space="preserve">at the </w:t>
      </w:r>
      <w:r w:rsidR="00221BE5" w:rsidRPr="00111D88">
        <w:rPr>
          <w:b/>
        </w:rPr>
        <w:t>depth</w:t>
      </w:r>
      <w:r w:rsidRPr="00111D88">
        <w:rPr>
          <w:b/>
        </w:rPr>
        <w:t xml:space="preserve"> necessary</w:t>
      </w:r>
      <w:r w:rsidR="00221BE5" w:rsidRPr="00111D88">
        <w:rPr>
          <w:b/>
        </w:rPr>
        <w:t xml:space="preserve"> for students to achieve learning </w:t>
      </w:r>
      <w:r w:rsidR="00FA4294" w:rsidRPr="00111D88">
        <w:rPr>
          <w:b/>
        </w:rPr>
        <w:t>goals</w:t>
      </w:r>
      <w:r w:rsidR="00EB39E0" w:rsidRPr="00111D88">
        <w:rPr>
          <w:b/>
        </w:rPr>
        <w:t xml:space="preserve"> and outcomes</w:t>
      </w:r>
      <w:r w:rsidR="00221BE5" w:rsidRPr="00111D88">
        <w:t>:</w:t>
      </w:r>
      <w:r w:rsidRPr="00111D88">
        <w:t xml:space="preserve"> </w:t>
      </w:r>
      <w:r w:rsidR="00111D88" w:rsidRPr="00111D88">
        <w:t>Module materials are robust and create a rich learning environment for students, providing meaningful content using a variety of sources.  The level of detail in supporting materials is appropriate for the level of the course and provides depth sufficient for students to achieve the learning goals.</w:t>
      </w:r>
    </w:p>
    <w:p w14:paraId="59865F31" w14:textId="64CF8508" w:rsidR="00221BE5" w:rsidRPr="00CF0162" w:rsidRDefault="00221BE5" w:rsidP="00221BE5">
      <w:r w:rsidRPr="00CF0162">
        <w:tab/>
      </w:r>
    </w:p>
    <w:p w14:paraId="1FEC4EDE" w14:textId="6D649CC1" w:rsidR="009C54B7" w:rsidRPr="00CF0162" w:rsidRDefault="002E2CFD" w:rsidP="00221BE5">
      <w:r w:rsidRPr="00CF0162">
        <w:t>1</w:t>
      </w:r>
      <w:r w:rsidR="00111D88">
        <w:t>8</w:t>
      </w:r>
      <w:r w:rsidR="00221BE5" w:rsidRPr="00CF0162">
        <w:tab/>
      </w:r>
      <w:r w:rsidR="00221BE5" w:rsidRPr="00CF0162">
        <w:rPr>
          <w:b/>
        </w:rPr>
        <w:t>Materials are appropriately cited</w:t>
      </w:r>
      <w:r w:rsidR="00221BE5" w:rsidRPr="00CF0162">
        <w:t xml:space="preserve">: </w:t>
      </w:r>
      <w:r w:rsidR="00111D88" w:rsidRPr="00111D88">
        <w:t>(</w:t>
      </w:r>
      <w:r w:rsidR="00111D88" w:rsidRPr="00111D88">
        <w:rPr>
          <w:highlight w:val="yellow"/>
        </w:rPr>
        <w:t>All materials must score 3/3 on this item.</w:t>
      </w:r>
      <w:r w:rsidR="00111D88" w:rsidRPr="00111D88">
        <w:t xml:space="preserve">) </w:t>
      </w:r>
      <w:r w:rsidR="00221BE5" w:rsidRPr="00CF0162">
        <w:t>All learning materials, software and learning resources must conform to copyright law and proper citation protocols unless there is a specific statement attached to the materials stating that they are in the public domain.</w:t>
      </w:r>
    </w:p>
    <w:p w14:paraId="12FEC31B" w14:textId="479A5252" w:rsidR="00221BE5" w:rsidRPr="00CF0162" w:rsidRDefault="00221BE5" w:rsidP="00221BE5">
      <w:r w:rsidRPr="00CF0162">
        <w:tab/>
      </w:r>
    </w:p>
    <w:p w14:paraId="02F0ADE1" w14:textId="08E7EE04" w:rsidR="009C54B7" w:rsidRPr="00CF0162" w:rsidRDefault="00111D88" w:rsidP="00221BE5">
      <w:r>
        <w:t>19</w:t>
      </w:r>
      <w:r w:rsidR="00221BE5" w:rsidRPr="00CF0162">
        <w:tab/>
      </w:r>
      <w:r w:rsidR="00221BE5" w:rsidRPr="00CF0162">
        <w:rPr>
          <w:b/>
        </w:rPr>
        <w:t>Instructional materials are current</w:t>
      </w:r>
      <w:r w:rsidR="00221BE5" w:rsidRPr="00CF0162">
        <w:t>:  The materials represent up-to-date thinking and practice in the discipline.</w:t>
      </w:r>
    </w:p>
    <w:p w14:paraId="528F904A" w14:textId="664B4D94" w:rsidR="00221BE5" w:rsidRPr="00CF0162" w:rsidRDefault="00221BE5" w:rsidP="00221BE5">
      <w:r w:rsidRPr="00CF0162">
        <w:tab/>
      </w:r>
    </w:p>
    <w:p w14:paraId="41FB59F0" w14:textId="3114E32E" w:rsidR="00221BE5" w:rsidRPr="00CF0162" w:rsidRDefault="002E2CFD" w:rsidP="00221BE5">
      <w:r w:rsidRPr="00CF0162">
        <w:t>2</w:t>
      </w:r>
      <w:r w:rsidR="00111D88">
        <w:t>0</w:t>
      </w:r>
      <w:r w:rsidR="00221BE5" w:rsidRPr="00CF0162">
        <w:tab/>
      </w:r>
      <w:r w:rsidR="00221BE5" w:rsidRPr="00CF0162">
        <w:rPr>
          <w:b/>
        </w:rPr>
        <w:t>Instructional materials and the technology to support these materials are clearly stated</w:t>
      </w:r>
      <w:r w:rsidR="00221BE5" w:rsidRPr="00CF0162">
        <w:t xml:space="preserve">: </w:t>
      </w:r>
      <w:r w:rsidR="00111D88" w:rsidRPr="00111D88">
        <w:t xml:space="preserve">If specific technology is needed, what is required is clearly stated, e.g. geophysical instruments for data acquisition or computer lab operating system and/or licenses for a specific software application.  Information is included about how any provided data was </w:t>
      </w:r>
      <w:r w:rsidR="00111D88">
        <w:t>acquired</w:t>
      </w:r>
      <w:r w:rsidR="00111D88" w:rsidRPr="00111D88">
        <w:t xml:space="preserve">, as well as information about how to collect one’s own data if </w:t>
      </w:r>
      <w:r w:rsidR="00111D88">
        <w:t>appropriate</w:t>
      </w:r>
      <w:r w:rsidR="00111D88" w:rsidRPr="00111D88">
        <w:t xml:space="preserve">.  Where possible, this should include tutorials for the use of the </w:t>
      </w:r>
      <w:r w:rsidR="00111D88">
        <w:t>instruments or software.</w:t>
      </w:r>
    </w:p>
    <w:p w14:paraId="19BC5BFE" w14:textId="77777777" w:rsidR="00CF0162" w:rsidRDefault="00CF0162">
      <w:pPr>
        <w:rPr>
          <w:rFonts w:asciiTheme="majorHAnsi" w:eastAsiaTheme="majorEastAsia" w:hAnsiTheme="majorHAnsi" w:cstheme="majorBidi"/>
          <w:color w:val="000000" w:themeColor="text1"/>
          <w:sz w:val="32"/>
          <w:szCs w:val="32"/>
        </w:rPr>
      </w:pPr>
      <w:r>
        <w:br w:type="page"/>
      </w:r>
    </w:p>
    <w:p w14:paraId="31962608" w14:textId="3023638B" w:rsidR="009C54B7" w:rsidRPr="002E2CFD" w:rsidRDefault="00221BE5" w:rsidP="007A3813">
      <w:pPr>
        <w:pStyle w:val="Heading1"/>
      </w:pPr>
      <w:r w:rsidRPr="002E2CFD">
        <w:lastRenderedPageBreak/>
        <w:t>Instructional Strategies</w:t>
      </w:r>
      <w:r w:rsidR="00B32F52">
        <w:t xml:space="preserve"> (must score 1</w:t>
      </w:r>
      <w:r w:rsidR="00111D88">
        <w:t>2</w:t>
      </w:r>
      <w:r w:rsidR="00B32F52">
        <w:t>/15</w:t>
      </w:r>
      <w:r w:rsidR="003A7459">
        <w:t>)</w:t>
      </w:r>
    </w:p>
    <w:p w14:paraId="62B622CE" w14:textId="683DC35E" w:rsidR="00221BE5" w:rsidRDefault="00221BE5" w:rsidP="00221BE5">
      <w:r>
        <w:tab/>
      </w:r>
      <w:r>
        <w:tab/>
      </w:r>
      <w:r>
        <w:tab/>
      </w:r>
    </w:p>
    <w:p w14:paraId="0FE47E11" w14:textId="45B8979C" w:rsidR="00B57F08" w:rsidRPr="00111D88" w:rsidRDefault="002E2CFD" w:rsidP="00221BE5">
      <w:r w:rsidRPr="00111D88">
        <w:t>2</w:t>
      </w:r>
      <w:r w:rsidR="00111D88">
        <w:t>1</w:t>
      </w:r>
      <w:r w:rsidR="00221BE5" w:rsidRPr="00111D88">
        <w:tab/>
      </w:r>
      <w:r w:rsidR="00221BE5" w:rsidRPr="00111D88">
        <w:rPr>
          <w:b/>
        </w:rPr>
        <w:t xml:space="preserve">Learning strategies and activities support stated learning </w:t>
      </w:r>
      <w:r w:rsidR="00FA4294" w:rsidRPr="00111D88">
        <w:rPr>
          <w:b/>
        </w:rPr>
        <w:t>goals</w:t>
      </w:r>
      <w:r w:rsidR="00EB39E0" w:rsidRPr="00111D88">
        <w:rPr>
          <w:b/>
        </w:rPr>
        <w:t xml:space="preserve"> and outcomes</w:t>
      </w:r>
      <w:r w:rsidR="00221BE5" w:rsidRPr="00111D88">
        <w:t xml:space="preserve">: </w:t>
      </w:r>
      <w:r w:rsidR="00B57F08" w:rsidRPr="00B57F08">
        <w:t>Students will be able to meet the stated goals using the learning activities provided.  These actively engage students with the module content using a variety of different types of activities. Activities are designed to support reinforcement and mastery in multiple ways</w:t>
      </w:r>
    </w:p>
    <w:p w14:paraId="006211C8" w14:textId="0D8E5A42" w:rsidR="00221BE5" w:rsidRPr="00111D88" w:rsidRDefault="00221BE5" w:rsidP="00221BE5">
      <w:r w:rsidRPr="00111D88">
        <w:tab/>
      </w:r>
    </w:p>
    <w:p w14:paraId="31E22292" w14:textId="56D2BBD8" w:rsidR="002E2CFD" w:rsidRPr="00111D88" w:rsidRDefault="002E2CFD" w:rsidP="00221BE5">
      <w:r w:rsidRPr="00111D88">
        <w:t>2</w:t>
      </w:r>
      <w:r w:rsidR="00111D88">
        <w:t>2</w:t>
      </w:r>
      <w:r w:rsidR="00221BE5" w:rsidRPr="00111D88">
        <w:tab/>
      </w:r>
      <w:r w:rsidR="00221BE5" w:rsidRPr="00111D88">
        <w:rPr>
          <w:b/>
        </w:rPr>
        <w:t xml:space="preserve">Learning strategies and activities </w:t>
      </w:r>
      <w:r w:rsidR="00DA5B70" w:rsidRPr="00111D88">
        <w:rPr>
          <w:b/>
        </w:rPr>
        <w:t xml:space="preserve">promote student engagement with the materials. </w:t>
      </w:r>
      <w:r w:rsidR="00B57F08" w:rsidRPr="00B57F08">
        <w:t>Activities connect to personal experiences of students, motivate and engage students, connect to real world experiences, and build on what they know and address their initial beliefs. Activities provide multiple opportunities that foster interactions (with both peers and instructor) where appropriate. Examples include think-pair-share, group discussions, small-group projects, or jigsaws.</w:t>
      </w:r>
    </w:p>
    <w:p w14:paraId="4D50CA12" w14:textId="4B550225" w:rsidR="00221BE5" w:rsidRPr="00111D88" w:rsidRDefault="00221BE5" w:rsidP="00221BE5">
      <w:r w:rsidRPr="00111D88">
        <w:tab/>
      </w:r>
    </w:p>
    <w:p w14:paraId="1427A5DF" w14:textId="006D7180" w:rsidR="002E2CFD" w:rsidRPr="00111D88" w:rsidRDefault="002E2CFD" w:rsidP="00221BE5">
      <w:r w:rsidRPr="00111D88">
        <w:t>2</w:t>
      </w:r>
      <w:r w:rsidR="00111D88">
        <w:t>3</w:t>
      </w:r>
      <w:r w:rsidR="00221BE5" w:rsidRPr="00111D88">
        <w:tab/>
      </w:r>
      <w:r w:rsidR="00221BE5" w:rsidRPr="00111D88">
        <w:rPr>
          <w:b/>
        </w:rPr>
        <w:t xml:space="preserve">Learning activities </w:t>
      </w:r>
      <w:r w:rsidR="00DA5B70" w:rsidRPr="00111D88">
        <w:rPr>
          <w:b/>
        </w:rPr>
        <w:t>develop student metacognition</w:t>
      </w:r>
      <w:r w:rsidR="00221BE5" w:rsidRPr="00111D88">
        <w:t>: The activities should provide opportunities for students to iterate and improve their understanding incrementally.  Activities should include an ap</w:t>
      </w:r>
      <w:r w:rsidR="00AA1DD4" w:rsidRPr="00111D88">
        <w:t>propriate balance of guidance versus</w:t>
      </w:r>
      <w:r w:rsidR="00221BE5" w:rsidRPr="00111D88">
        <w:t xml:space="preserve"> exploration and opportunities for reflection, discussion, and synthesis. Students should be able to assess their own learning and confirm they are on the right track</w:t>
      </w:r>
      <w:r w:rsidR="00B57F08">
        <w:t xml:space="preserve"> through reflective exercises</w:t>
      </w:r>
      <w:r w:rsidR="00221BE5" w:rsidRPr="00111D88">
        <w:t>.</w:t>
      </w:r>
    </w:p>
    <w:p w14:paraId="25B87E40" w14:textId="77777777" w:rsidR="00DA5B70" w:rsidRPr="00111D88" w:rsidRDefault="00DA5B70" w:rsidP="00221BE5"/>
    <w:p w14:paraId="31D026E8" w14:textId="256BC278" w:rsidR="00DA5B70" w:rsidRPr="00111D88" w:rsidRDefault="00DA5B70" w:rsidP="00221BE5">
      <w:r w:rsidRPr="00111D88">
        <w:t>2</w:t>
      </w:r>
      <w:r w:rsidR="00111D88">
        <w:t>4</w:t>
      </w:r>
      <w:r w:rsidRPr="00111D88">
        <w:tab/>
      </w:r>
      <w:r w:rsidRPr="00111D88">
        <w:rPr>
          <w:b/>
        </w:rPr>
        <w:t>Learning strategies and activities provide opportunities for students to practice communicating geoscience</w:t>
      </w:r>
      <w:r w:rsidRPr="00111D88">
        <w:t xml:space="preserve">: </w:t>
      </w:r>
      <w:r w:rsidR="00B57F08" w:rsidRPr="00B57F08">
        <w:t>Students will be engaged in independent thinking, problem solving, and communicating their understanding.  Activities challenge misconceptions (where necessary), provide opportunities for students to practice judging what constitutes credible evidence, and provide opportunities for students to practice communicating geoscience concepts verbally and/or in writing.</w:t>
      </w:r>
    </w:p>
    <w:p w14:paraId="2F64F905" w14:textId="5013194D" w:rsidR="00221BE5" w:rsidRPr="00111D88" w:rsidRDefault="00221BE5" w:rsidP="00221BE5">
      <w:r w:rsidRPr="00111D88">
        <w:tab/>
      </w:r>
    </w:p>
    <w:p w14:paraId="7CA6F7AD" w14:textId="0A6535D1" w:rsidR="00221BE5" w:rsidRDefault="002E2CFD" w:rsidP="00221BE5">
      <w:r w:rsidRPr="00111D88">
        <w:t>2</w:t>
      </w:r>
      <w:r w:rsidR="00111D88">
        <w:t>5</w:t>
      </w:r>
      <w:r w:rsidR="00221BE5" w:rsidRPr="00111D88">
        <w:tab/>
      </w:r>
      <w:r w:rsidR="00221BE5" w:rsidRPr="00111D88">
        <w:rPr>
          <w:b/>
        </w:rPr>
        <w:t>Learning strategies and activities scaffold learning</w:t>
      </w:r>
      <w:r w:rsidR="00221BE5" w:rsidRPr="00111D88">
        <w:t xml:space="preserve">: </w:t>
      </w:r>
      <w:r w:rsidR="00B57F08" w:rsidRPr="00B57F08">
        <w:t>Activities promote deep learning by stimulating student intellectual growth from novice to more advanced levels.  Activities are structured to allow students to first note obvious connections and then grasp the significance of those connections.  At higher levels, students are challenged to appreciate the significance of the parts as related to the larger concept and eventually extend those concepts to general principles outside the discipline.</w:t>
      </w:r>
      <w:r w:rsidR="00B57F08">
        <w:br/>
      </w:r>
      <w:r w:rsidR="00221BE5">
        <w:tab/>
      </w:r>
      <w:r w:rsidR="00221BE5">
        <w:tab/>
      </w:r>
      <w:r w:rsidR="00221BE5">
        <w:tab/>
      </w:r>
    </w:p>
    <w:p w14:paraId="2C78934C" w14:textId="16B841CA" w:rsidR="00221BE5" w:rsidRPr="00CF6159" w:rsidRDefault="00221BE5" w:rsidP="007A3813">
      <w:pPr>
        <w:pStyle w:val="Heading1"/>
      </w:pPr>
      <w:r w:rsidRPr="00AA1DD4">
        <w:t>Alignment</w:t>
      </w:r>
      <w:r w:rsidR="003A7459">
        <w:t xml:space="preserve"> (must score </w:t>
      </w:r>
      <w:r w:rsidR="00B57F08">
        <w:t>3/3</w:t>
      </w:r>
      <w:r w:rsidR="003A7459">
        <w:t>)</w:t>
      </w:r>
      <w:r>
        <w:tab/>
      </w:r>
      <w:r>
        <w:tab/>
      </w:r>
    </w:p>
    <w:p w14:paraId="28B7905F" w14:textId="646901BE" w:rsidR="00221BE5" w:rsidRDefault="00221BE5" w:rsidP="00221BE5">
      <w:r>
        <w:tab/>
      </w:r>
    </w:p>
    <w:p w14:paraId="71D9ABDB" w14:textId="42ABB216" w:rsidR="00F715B6" w:rsidRPr="00B57F08" w:rsidRDefault="003A7459" w:rsidP="00B57F08">
      <w:r w:rsidRPr="00B57F08">
        <w:t>2</w:t>
      </w:r>
      <w:r w:rsidR="00B57F08">
        <w:t>6</w:t>
      </w:r>
      <w:r w:rsidR="00221BE5" w:rsidRPr="00B57F08">
        <w:tab/>
      </w:r>
      <w:r w:rsidR="00B57F08" w:rsidRPr="00B57F08">
        <w:rPr>
          <w:b/>
        </w:rPr>
        <w:t>All aspects of the module are aligned</w:t>
      </w:r>
      <w:r w:rsidR="00B57F08" w:rsidRPr="00B57F08">
        <w:t xml:space="preserve">: </w:t>
      </w:r>
      <w:r w:rsidR="00B57F08">
        <w:t>Learning outcomes</w:t>
      </w:r>
      <w:r w:rsidR="00221BE5" w:rsidRPr="00B57F08">
        <w:t>, learning activities</w:t>
      </w:r>
      <w:r w:rsidR="00B57F08">
        <w:t>,</w:t>
      </w:r>
      <w:r w:rsidR="00221BE5" w:rsidRPr="00B57F08">
        <w:t xml:space="preserve"> and assessments </w:t>
      </w:r>
      <w:r w:rsidR="00F715B6" w:rsidRPr="00B57F08">
        <w:t xml:space="preserve">within </w:t>
      </w:r>
      <w:r w:rsidR="00B57F08">
        <w:t xml:space="preserve">unit </w:t>
      </w:r>
      <w:r w:rsidR="00936E7A" w:rsidRPr="00B57F08">
        <w:t>module</w:t>
      </w:r>
      <w:r w:rsidR="00F715B6" w:rsidRPr="00B57F08">
        <w:t xml:space="preserve"> </w:t>
      </w:r>
      <w:r w:rsidR="00221BE5" w:rsidRPr="00B57F08">
        <w:t xml:space="preserve">align with one another and with </w:t>
      </w:r>
      <w:r w:rsidR="00B57F08">
        <w:t xml:space="preserve">the module </w:t>
      </w:r>
      <w:r w:rsidR="00FA4294" w:rsidRPr="00B57F08">
        <w:t>goals</w:t>
      </w:r>
      <w:r w:rsidR="00221BE5" w:rsidRPr="00B57F08">
        <w:t xml:space="preserve">. </w:t>
      </w:r>
    </w:p>
    <w:p w14:paraId="15225382" w14:textId="7468A0F0" w:rsidR="00B340BF" w:rsidRPr="00B57F08" w:rsidRDefault="00B340BF" w:rsidP="00221BE5"/>
    <w:p w14:paraId="6138ABF2" w14:textId="34DBD585" w:rsidR="00210F23" w:rsidRDefault="00210F23" w:rsidP="00210F23"/>
    <w:sectPr w:rsidR="00210F23" w:rsidSect="00C571CB">
      <w:headerReference w:type="default"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89175" w14:textId="77777777" w:rsidR="00950E62" w:rsidRDefault="00950E62" w:rsidP="00AB57CC">
      <w:r>
        <w:separator/>
      </w:r>
    </w:p>
  </w:endnote>
  <w:endnote w:type="continuationSeparator" w:id="0">
    <w:p w14:paraId="3BDDFC4A" w14:textId="77777777" w:rsidR="00950E62" w:rsidRDefault="00950E62" w:rsidP="00AB5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5647692"/>
      <w:docPartObj>
        <w:docPartGallery w:val="Page Numbers (Bottom of Page)"/>
        <w:docPartUnique/>
      </w:docPartObj>
    </w:sdtPr>
    <w:sdtEndPr>
      <w:rPr>
        <w:noProof/>
      </w:rPr>
    </w:sdtEndPr>
    <w:sdtContent>
      <w:p w14:paraId="10267060" w14:textId="1A2FA40E" w:rsidR="00D200B6" w:rsidRDefault="00D200B6">
        <w:pPr>
          <w:pStyle w:val="Footer"/>
          <w:jc w:val="center"/>
        </w:pPr>
        <w:r>
          <w:fldChar w:fldCharType="begin"/>
        </w:r>
        <w:r>
          <w:instrText xml:space="preserve"> PAGE   \* MERGEFORMAT </w:instrText>
        </w:r>
        <w:r>
          <w:fldChar w:fldCharType="separate"/>
        </w:r>
        <w:r w:rsidR="00D915BE">
          <w:rPr>
            <w:noProof/>
          </w:rPr>
          <w:t>1</w:t>
        </w:r>
        <w:r>
          <w:rPr>
            <w:noProof/>
          </w:rPr>
          <w:fldChar w:fldCharType="end"/>
        </w:r>
      </w:p>
    </w:sdtContent>
  </w:sdt>
  <w:p w14:paraId="4011F640" w14:textId="77777777" w:rsidR="00D200B6" w:rsidRDefault="00D200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7B7A7" w14:textId="77777777" w:rsidR="00950E62" w:rsidRDefault="00950E62" w:rsidP="00AB57CC">
      <w:r>
        <w:separator/>
      </w:r>
    </w:p>
  </w:footnote>
  <w:footnote w:type="continuationSeparator" w:id="0">
    <w:p w14:paraId="5D680B24" w14:textId="77777777" w:rsidR="00950E62" w:rsidRDefault="00950E62" w:rsidP="00AB57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91AFB" w14:textId="474B7E03" w:rsidR="00D200B6" w:rsidRDefault="00D200B6">
    <w:pPr>
      <w:pStyle w:val="Header"/>
    </w:pPr>
    <w:r>
      <w:t>V</w:t>
    </w:r>
    <w:r w:rsidR="00D915BE">
      <w:t xml:space="preserve">ersion </w:t>
    </w:r>
    <w:r w:rsidR="00C24120">
      <w:t>4</w:t>
    </w:r>
    <w:r>
      <w:tab/>
    </w:r>
    <w:r>
      <w:tab/>
    </w:r>
    <w:r w:rsidR="00C24120">
      <w:t>February 12,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74259"/>
    <w:multiLevelType w:val="hybridMultilevel"/>
    <w:tmpl w:val="174AD6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04145D"/>
    <w:multiLevelType w:val="hybridMultilevel"/>
    <w:tmpl w:val="C5561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0F1886"/>
    <w:multiLevelType w:val="hybridMultilevel"/>
    <w:tmpl w:val="0276E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ED7118"/>
    <w:multiLevelType w:val="hybridMultilevel"/>
    <w:tmpl w:val="C83C4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D1310A0"/>
    <w:multiLevelType w:val="hybridMultilevel"/>
    <w:tmpl w:val="1318C9D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3937110">
    <w:abstractNumId w:val="1"/>
  </w:num>
  <w:num w:numId="2" w16cid:durableId="1553733093">
    <w:abstractNumId w:val="3"/>
  </w:num>
  <w:num w:numId="3" w16cid:durableId="1604337635">
    <w:abstractNumId w:val="0"/>
  </w:num>
  <w:num w:numId="4" w16cid:durableId="995914318">
    <w:abstractNumId w:val="2"/>
  </w:num>
  <w:num w:numId="5" w16cid:durableId="17220519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BE5"/>
    <w:rsid w:val="000070BB"/>
    <w:rsid w:val="00041184"/>
    <w:rsid w:val="00045459"/>
    <w:rsid w:val="000636B3"/>
    <w:rsid w:val="000B21D6"/>
    <w:rsid w:val="00111D88"/>
    <w:rsid w:val="00163C18"/>
    <w:rsid w:val="001D3546"/>
    <w:rsid w:val="00210F23"/>
    <w:rsid w:val="00221BE5"/>
    <w:rsid w:val="002C714A"/>
    <w:rsid w:val="002E2CFD"/>
    <w:rsid w:val="00341702"/>
    <w:rsid w:val="003579F1"/>
    <w:rsid w:val="003801E8"/>
    <w:rsid w:val="003A7459"/>
    <w:rsid w:val="003E238A"/>
    <w:rsid w:val="004C2241"/>
    <w:rsid w:val="004C71D7"/>
    <w:rsid w:val="004D1C7F"/>
    <w:rsid w:val="004D3251"/>
    <w:rsid w:val="004E61B3"/>
    <w:rsid w:val="00501E84"/>
    <w:rsid w:val="00507DA7"/>
    <w:rsid w:val="00535581"/>
    <w:rsid w:val="00585B88"/>
    <w:rsid w:val="00670AA0"/>
    <w:rsid w:val="006827D7"/>
    <w:rsid w:val="006F573A"/>
    <w:rsid w:val="0070207D"/>
    <w:rsid w:val="007A3813"/>
    <w:rsid w:val="007B7E42"/>
    <w:rsid w:val="007E7C30"/>
    <w:rsid w:val="00802FF9"/>
    <w:rsid w:val="00825A58"/>
    <w:rsid w:val="00874171"/>
    <w:rsid w:val="00884BB6"/>
    <w:rsid w:val="00936E7A"/>
    <w:rsid w:val="00950E62"/>
    <w:rsid w:val="009554E2"/>
    <w:rsid w:val="009C54B7"/>
    <w:rsid w:val="00A32D22"/>
    <w:rsid w:val="00A757B2"/>
    <w:rsid w:val="00AA1DD4"/>
    <w:rsid w:val="00AB57CC"/>
    <w:rsid w:val="00AD4BE8"/>
    <w:rsid w:val="00B01518"/>
    <w:rsid w:val="00B12DA0"/>
    <w:rsid w:val="00B2292F"/>
    <w:rsid w:val="00B32F52"/>
    <w:rsid w:val="00B340BF"/>
    <w:rsid w:val="00B57F08"/>
    <w:rsid w:val="00B97527"/>
    <w:rsid w:val="00C24120"/>
    <w:rsid w:val="00C571CB"/>
    <w:rsid w:val="00CC6369"/>
    <w:rsid w:val="00CD6B4C"/>
    <w:rsid w:val="00CF0162"/>
    <w:rsid w:val="00CF6159"/>
    <w:rsid w:val="00D200B6"/>
    <w:rsid w:val="00D915BE"/>
    <w:rsid w:val="00DA5B70"/>
    <w:rsid w:val="00E003AE"/>
    <w:rsid w:val="00E305B5"/>
    <w:rsid w:val="00E52AC5"/>
    <w:rsid w:val="00E90095"/>
    <w:rsid w:val="00EB39E0"/>
    <w:rsid w:val="00ED5A1C"/>
    <w:rsid w:val="00F10694"/>
    <w:rsid w:val="00F24D36"/>
    <w:rsid w:val="00F715B6"/>
    <w:rsid w:val="00FA4294"/>
    <w:rsid w:val="00FD5DF3"/>
    <w:rsid w:val="00FD65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3F9C8C"/>
  <w14:defaultImageDpi w14:val="300"/>
  <w15:docId w15:val="{7DC79014-A899-F747-841C-23B81AECA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3813"/>
    <w:pPr>
      <w:keepNext/>
      <w:keepLines/>
      <w:spacing w:before="240"/>
      <w:outlineLvl w:val="0"/>
    </w:pPr>
    <w:rPr>
      <w:rFonts w:asciiTheme="majorHAnsi" w:eastAsiaTheme="majorEastAsia" w:hAnsiTheme="majorHAnsi" w:cstheme="majorBidi"/>
      <w:color w:val="000000" w:themeColor="text1"/>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36B3"/>
    <w:pPr>
      <w:ind w:left="720"/>
      <w:contextualSpacing/>
    </w:pPr>
  </w:style>
  <w:style w:type="paragraph" w:styleId="Header">
    <w:name w:val="header"/>
    <w:basedOn w:val="Normal"/>
    <w:link w:val="HeaderChar"/>
    <w:uiPriority w:val="99"/>
    <w:unhideWhenUsed/>
    <w:rsid w:val="00AB57CC"/>
    <w:pPr>
      <w:tabs>
        <w:tab w:val="center" w:pos="4320"/>
        <w:tab w:val="right" w:pos="8640"/>
      </w:tabs>
    </w:pPr>
  </w:style>
  <w:style w:type="character" w:customStyle="1" w:styleId="HeaderChar">
    <w:name w:val="Header Char"/>
    <w:basedOn w:val="DefaultParagraphFont"/>
    <w:link w:val="Header"/>
    <w:uiPriority w:val="99"/>
    <w:rsid w:val="00AB57CC"/>
  </w:style>
  <w:style w:type="paragraph" w:styleId="Footer">
    <w:name w:val="footer"/>
    <w:basedOn w:val="Normal"/>
    <w:link w:val="FooterChar"/>
    <w:uiPriority w:val="99"/>
    <w:unhideWhenUsed/>
    <w:rsid w:val="00AB57CC"/>
    <w:pPr>
      <w:tabs>
        <w:tab w:val="center" w:pos="4320"/>
        <w:tab w:val="right" w:pos="8640"/>
      </w:tabs>
    </w:pPr>
  </w:style>
  <w:style w:type="character" w:customStyle="1" w:styleId="FooterChar">
    <w:name w:val="Footer Char"/>
    <w:basedOn w:val="DefaultParagraphFont"/>
    <w:link w:val="Footer"/>
    <w:uiPriority w:val="99"/>
    <w:rsid w:val="00AB57CC"/>
  </w:style>
  <w:style w:type="paragraph" w:styleId="BalloonText">
    <w:name w:val="Balloon Text"/>
    <w:basedOn w:val="Normal"/>
    <w:link w:val="BalloonTextChar"/>
    <w:uiPriority w:val="99"/>
    <w:semiHidden/>
    <w:unhideWhenUsed/>
    <w:rsid w:val="000070B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070BB"/>
    <w:rPr>
      <w:rFonts w:ascii="Lucida Grande" w:hAnsi="Lucida Grande" w:cs="Lucida Grande"/>
      <w:sz w:val="18"/>
      <w:szCs w:val="18"/>
    </w:rPr>
  </w:style>
  <w:style w:type="character" w:styleId="Hyperlink">
    <w:name w:val="Hyperlink"/>
    <w:basedOn w:val="DefaultParagraphFont"/>
    <w:uiPriority w:val="99"/>
    <w:unhideWhenUsed/>
    <w:rsid w:val="000070BB"/>
    <w:rPr>
      <w:color w:val="0000FF" w:themeColor="hyperlink"/>
      <w:u w:val="single"/>
    </w:rPr>
  </w:style>
  <w:style w:type="character" w:styleId="FollowedHyperlink">
    <w:name w:val="FollowedHyperlink"/>
    <w:basedOn w:val="DefaultParagraphFont"/>
    <w:uiPriority w:val="99"/>
    <w:semiHidden/>
    <w:unhideWhenUsed/>
    <w:rsid w:val="00045459"/>
    <w:rPr>
      <w:color w:val="800080" w:themeColor="followedHyperlink"/>
      <w:u w:val="single"/>
    </w:rPr>
  </w:style>
  <w:style w:type="character" w:styleId="UnresolvedMention">
    <w:name w:val="Unresolved Mention"/>
    <w:basedOn w:val="DefaultParagraphFont"/>
    <w:uiPriority w:val="99"/>
    <w:semiHidden/>
    <w:unhideWhenUsed/>
    <w:rsid w:val="00C24120"/>
    <w:rPr>
      <w:color w:val="605E5C"/>
      <w:shd w:val="clear" w:color="auto" w:fill="E1DFDD"/>
    </w:rPr>
  </w:style>
  <w:style w:type="paragraph" w:styleId="Title">
    <w:name w:val="Title"/>
    <w:basedOn w:val="Normal"/>
    <w:next w:val="Normal"/>
    <w:link w:val="TitleChar"/>
    <w:uiPriority w:val="10"/>
    <w:qFormat/>
    <w:rsid w:val="007A3813"/>
    <w:pPr>
      <w:contextualSpacing/>
    </w:pPr>
    <w:rPr>
      <w:rFonts w:asciiTheme="majorHAnsi" w:eastAsiaTheme="majorEastAsia" w:hAnsiTheme="majorHAnsi" w:cstheme="majorBidi"/>
      <w:spacing w:val="-10"/>
      <w:kern w:val="28"/>
      <w:sz w:val="40"/>
      <w:szCs w:val="40"/>
    </w:rPr>
  </w:style>
  <w:style w:type="character" w:customStyle="1" w:styleId="TitleChar">
    <w:name w:val="Title Char"/>
    <w:basedOn w:val="DefaultParagraphFont"/>
    <w:link w:val="Title"/>
    <w:uiPriority w:val="10"/>
    <w:rsid w:val="007A3813"/>
    <w:rPr>
      <w:rFonts w:asciiTheme="majorHAnsi" w:eastAsiaTheme="majorEastAsia" w:hAnsiTheme="majorHAnsi" w:cstheme="majorBidi"/>
      <w:spacing w:val="-10"/>
      <w:kern w:val="28"/>
      <w:sz w:val="40"/>
      <w:szCs w:val="40"/>
    </w:rPr>
  </w:style>
  <w:style w:type="character" w:customStyle="1" w:styleId="Heading1Char">
    <w:name w:val="Heading 1 Char"/>
    <w:basedOn w:val="DefaultParagraphFont"/>
    <w:link w:val="Heading1"/>
    <w:uiPriority w:val="9"/>
    <w:rsid w:val="007A3813"/>
    <w:rPr>
      <w:rFonts w:asciiTheme="majorHAnsi" w:eastAsiaTheme="majorEastAsia" w:hAnsiTheme="majorHAnsi" w:cstheme="majorBidi"/>
      <w:color w:val="000000" w:themeColor="text1"/>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rc.carleton.edu/download/files/487171" TargetMode="External"/><Relationship Id="rId3" Type="http://schemas.openxmlformats.org/officeDocument/2006/relationships/settings" Target="settings.xml"/><Relationship Id="rId7" Type="http://schemas.openxmlformats.org/officeDocument/2006/relationships/hyperlink" Target="http://serc.carleton.edu/integrate/info_team_members/currdev/rubric.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TotalTime>
  <Pages>6</Pages>
  <Words>1891</Words>
  <Characters>10785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Carleton College</Company>
  <LinksUpToDate>false</LinksUpToDate>
  <CharactersWithSpaces>12651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 User</dc:creator>
  <cp:keywords/>
  <dc:description/>
  <cp:lastModifiedBy>Beth Pratt-Sitaula</cp:lastModifiedBy>
  <cp:revision>6</cp:revision>
  <dcterms:created xsi:type="dcterms:W3CDTF">2026-02-12T19:26:00Z</dcterms:created>
  <dcterms:modified xsi:type="dcterms:W3CDTF">2026-02-12T23:24:00Z</dcterms:modified>
</cp:coreProperties>
</file>